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垄断</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3357"/>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80" w:type="dxa"/>
            <w:gridSpan w:val="3"/>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keepNext w:val="0"/>
              <w:keepLines w:val="0"/>
              <w:pageBreakBefore w:val="0"/>
              <w:widowControl w:val="0"/>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起诉时需向人民法院提交证明您身份的材料，如身份证复印件、营业执照复印件等。</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本表所列内容是您提起诉讼以及人民法院查明案件事实所需，请务必如实填写。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本表有些内容可能与您的案件无关，您认为与案件无关的项目可以填“无”或不填；对于本表中勾选项可以在对应项打“√”；您认为另有重要内容需要列明的，可以另附页填写。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hint="eastAsia" w:ascii="宋体" w:hAnsi="宋体" w:eastAsia="宋体" w:cs="宋体"/>
                <w:sz w:val="20"/>
                <w:szCs w:val="20"/>
                <w:lang w:val="en-US" w:eastAsia="zh-CN"/>
              </w:rPr>
              <w:t xml:space="preserve">  年  月  日</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原告（法人、非法人组织）</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firstLine="1200" w:firstLineChars="600"/>
              <w:jc w:val="left"/>
              <w:rPr>
                <w:rFonts w:hint="eastAsia" w:ascii="宋体" w:hAnsi="宋体" w:eastAsia="宋体" w:cs="宋体"/>
                <w:sz w:val="20"/>
                <w:szCs w:val="20"/>
              </w:rPr>
            </w:pPr>
            <w:r>
              <w:rPr>
                <w:rFonts w:hint="eastAsia" w:ascii="宋体" w:hAnsi="宋体" w:eastAsia="宋体" w:cs="宋体"/>
                <w:sz w:val="20"/>
                <w:szCs w:val="20"/>
              </w:rPr>
              <w:t>出资方：</w:t>
            </w:r>
          </w:p>
          <w:p>
            <w:pPr>
              <w:spacing w:line="276" w:lineRule="auto"/>
              <w:ind w:firstLine="1200" w:firstLineChars="600"/>
              <w:jc w:val="left"/>
              <w:rPr>
                <w:rFonts w:hint="eastAsia" w:ascii="宋体" w:hAnsi="宋体" w:eastAsia="宋体" w:cs="宋体"/>
                <w:sz w:val="20"/>
                <w:szCs w:val="20"/>
                <w:lang w:eastAsia="zh-CN"/>
              </w:rPr>
            </w:pPr>
            <w:r>
              <w:rPr>
                <w:rFonts w:hint="eastAsia" w:ascii="宋体" w:hAnsi="宋体" w:eastAsia="宋体" w:cs="宋体"/>
                <w:sz w:val="20"/>
                <w:szCs w:val="20"/>
              </w:rPr>
              <w:t>份额构成</w:t>
            </w:r>
            <w:r>
              <w:rPr>
                <w:rFonts w:hint="eastAsia" w:ascii="宋体" w:hAnsi="宋体" w:eastAsia="宋体" w:cs="宋体"/>
                <w:sz w:val="20"/>
                <w:szCs w:val="20"/>
                <w:lang w:eastAsia="zh-CN"/>
              </w:rPr>
              <w:t>：</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：上市所在交易所：</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委托诉讼代理人（律师）</w:t>
            </w:r>
          </w:p>
        </w:tc>
        <w:tc>
          <w:tcPr>
            <w:tcW w:w="6843" w:type="dxa"/>
            <w:gridSpan w:val="2"/>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委托诉讼代理人（其他）</w:t>
            </w:r>
          </w:p>
        </w:tc>
        <w:tc>
          <w:tcPr>
            <w:tcW w:w="6843" w:type="dxa"/>
            <w:gridSpan w:val="2"/>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女</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出生日期：        民族：</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职务（员工担任代理人需写明部门）：</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与原告关系（近亲属担任委托诉讼代理人）：</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推荐单位（当事人所在社区、单位以及有关社会团体推荐的公民担任委托诉讼代理人）：</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被告（自然人）</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被告（法人、非法人组织）</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hint="eastAsia" w:ascii="宋体" w:hAnsi="宋体" w:eastAsia="宋体" w:cs="宋体"/>
                <w:sz w:val="20"/>
                <w:szCs w:val="20"/>
              </w:rPr>
            </w:pPr>
            <w:r>
              <w:rPr>
                <w:rFonts w:hint="eastAsia" w:ascii="宋体" w:hAnsi="宋体" w:eastAsia="宋体" w:cs="宋体"/>
                <w:sz w:val="20"/>
                <w:szCs w:val="20"/>
              </w:rPr>
              <w:t>出资方：</w:t>
            </w:r>
          </w:p>
          <w:p>
            <w:pPr>
              <w:spacing w:line="276" w:lineRule="auto"/>
              <w:ind w:firstLine="1200" w:firstLineChars="600"/>
              <w:jc w:val="left"/>
              <w:rPr>
                <w:rFonts w:hint="eastAsia" w:ascii="宋体" w:hAnsi="宋体" w:eastAsia="宋体" w:cs="宋体"/>
                <w:sz w:val="20"/>
                <w:szCs w:val="20"/>
                <w:lang w:eastAsia="zh-CN"/>
              </w:rPr>
            </w:pPr>
            <w:r>
              <w:rPr>
                <w:rFonts w:hint="eastAsia" w:ascii="宋体" w:hAnsi="宋体" w:eastAsia="宋体" w:cs="宋体"/>
                <w:sz w:val="20"/>
                <w:szCs w:val="20"/>
              </w:rPr>
              <w:t>份额构成</w:t>
            </w:r>
            <w:r>
              <w:rPr>
                <w:rFonts w:hint="eastAsia" w:ascii="宋体" w:hAnsi="宋体" w:eastAsia="宋体" w:cs="宋体"/>
                <w:sz w:val="20"/>
                <w:szCs w:val="20"/>
                <w:lang w:eastAsia="zh-CN"/>
              </w:rPr>
              <w:t>：</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：上市所在交易所：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第三人（自然人）</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第三人（法人、非法人组织）</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 参股</w:t>
            </w:r>
            <w:r>
              <w:rPr>
                <w:rFonts w:hint="eastAsia" w:ascii="宋体" w:hAnsi="宋体" w:eastAsia="宋体" w:cs="宋体"/>
                <w:sz w:val="20"/>
                <w:szCs w:val="20"/>
              </w:rPr>
              <w:sym w:font="Wingdings" w:char="00A8"/>
            </w:r>
            <w:r>
              <w:rPr>
                <w:rFonts w:hint="eastAsia" w:ascii="宋体" w:hAnsi="宋体" w:eastAsia="宋体" w:cs="宋体"/>
                <w:sz w:val="20"/>
                <w:szCs w:val="20"/>
              </w:rPr>
              <w:t>)  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hint="eastAsia" w:ascii="宋体" w:hAnsi="宋体" w:eastAsia="宋体" w:cs="宋体"/>
                <w:sz w:val="20"/>
                <w:szCs w:val="20"/>
              </w:rPr>
              <w:t>__________</w:t>
            </w:r>
          </w:p>
          <w:p>
            <w:pPr>
              <w:spacing w:line="276" w:lineRule="auto"/>
              <w:jc w:val="left"/>
              <w:rPr>
                <w:rFonts w:hint="eastAsia"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出资方：        份额构成</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        上市所在交易所：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numPr>
                <w:ilvl w:val="0"/>
                <w:numId w:val="0"/>
              </w:numPr>
              <w:spacing w:line="276" w:lineRule="auto"/>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（可完整表述诉讼请求；为方便、准确梳理要点，相关内容请在下方要素式表格中填写）</w:t>
            </w:r>
          </w:p>
          <w:p>
            <w:pPr>
              <w:numPr>
                <w:ilvl w:val="0"/>
                <w:numId w:val="0"/>
              </w:numPr>
              <w:spacing w:line="276" w:lineRule="auto"/>
              <w:jc w:val="left"/>
              <w:rPr>
                <w:rFonts w:hint="eastAsia" w:ascii="宋体" w:hAnsi="宋体" w:eastAsia="宋体" w:cs="宋体"/>
                <w:sz w:val="20"/>
                <w:szCs w:val="20"/>
                <w:lang w:val="en-US" w:eastAsia="zh-CN"/>
              </w:rPr>
            </w:pPr>
          </w:p>
          <w:p>
            <w:pPr>
              <w:numPr>
                <w:ilvl w:val="0"/>
                <w:numId w:val="0"/>
              </w:numPr>
              <w:spacing w:line="276" w:lineRule="auto"/>
              <w:jc w:val="left"/>
              <w:rPr>
                <w:rFonts w:hint="default"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1.停止</w:t>
            </w:r>
            <w:r>
              <w:rPr>
                <w:rFonts w:hint="eastAsia" w:ascii="宋体" w:hAnsi="宋体" w:eastAsia="宋体" w:cs="宋体"/>
                <w:sz w:val="20"/>
                <w:szCs w:val="20"/>
                <w:lang w:val="en-US" w:eastAsia="zh-CN"/>
              </w:rPr>
              <w:t>垄断行为</w:t>
            </w:r>
          </w:p>
        </w:tc>
        <w:tc>
          <w:tcPr>
            <w:tcW w:w="6843" w:type="dxa"/>
            <w:gridSpan w:val="2"/>
          </w:tcPr>
          <w:p>
            <w:pPr>
              <w:spacing w:line="276" w:lineRule="auto"/>
              <w:ind w:left="800" w:hanging="800" w:hangingChars="400"/>
              <w:jc w:val="left"/>
              <w:rPr>
                <w:rFonts w:hint="default"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r>
              <w:rPr>
                <w:rFonts w:hint="eastAsia" w:ascii="楷体" w:hAnsi="楷体" w:eastAsia="楷体" w:cs="楷体"/>
                <w:sz w:val="20"/>
                <w:szCs w:val="20"/>
                <w:lang w:val="en-US" w:eastAsia="zh-CN"/>
              </w:rPr>
              <w:t>（简述请求停止的垄断行为内容）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2.赔偿经济损失</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经济损失</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元</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赔偿维权合理开支</w:t>
            </w:r>
          </w:p>
        </w:tc>
        <w:tc>
          <w:tcPr>
            <w:tcW w:w="6843"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律师费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公证费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差旅费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其他费用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ascii="宋体" w:hAnsi="宋体" w:eastAsia="宋体" w:cs="宋体"/>
                <w:sz w:val="20"/>
                <w:szCs w:val="20"/>
              </w:rPr>
              <w:t>4.</w:t>
            </w:r>
            <w:r>
              <w:rPr>
                <w:rFonts w:hint="eastAsia" w:ascii="宋体" w:hAnsi="宋体" w:eastAsia="宋体" w:cs="宋体"/>
                <w:sz w:val="20"/>
                <w:szCs w:val="20"/>
              </w:rPr>
              <w:t>连带责任</w:t>
            </w:r>
          </w:p>
        </w:tc>
        <w:tc>
          <w:tcPr>
            <w:tcW w:w="6843"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w:t>
            </w:r>
            <w:r>
              <w:rPr>
                <w:rFonts w:ascii="宋体" w:hAnsi="宋体" w:eastAsia="宋体" w:cs="宋体"/>
                <w:sz w:val="20"/>
                <w:szCs w:val="20"/>
              </w:rPr>
              <w:t>.</w:t>
            </w:r>
            <w:r>
              <w:rPr>
                <w:rFonts w:hint="eastAsia" w:ascii="宋体" w:hAnsi="宋体" w:eastAsia="宋体" w:cs="宋体"/>
                <w:sz w:val="20"/>
                <w:szCs w:val="20"/>
              </w:rPr>
              <w:t>非金钱给付义务迟延履行金</w:t>
            </w:r>
          </w:p>
        </w:tc>
        <w:tc>
          <w:tcPr>
            <w:tcW w:w="6843" w:type="dxa"/>
            <w:gridSpan w:val="2"/>
          </w:tcPr>
          <w:p>
            <w:pPr>
              <w:spacing w:line="276" w:lineRule="auto"/>
              <w:ind w:left="800" w:hanging="800" w:hangingChars="400"/>
              <w:jc w:val="left"/>
              <w:rPr>
                <w:rFonts w:hint="eastAsia"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r>
              <w:rPr>
                <w:rFonts w:hint="eastAsia" w:ascii="宋体" w:hAnsi="宋体" w:eastAsia="宋体" w:cs="宋体"/>
                <w:sz w:val="20"/>
                <w:szCs w:val="20"/>
                <w:lang w:eastAsia="zh-CN"/>
              </w:rPr>
              <w:t>：</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6</w:t>
            </w:r>
            <w:r>
              <w:rPr>
                <w:rFonts w:ascii="宋体" w:hAnsi="宋体" w:eastAsia="宋体" w:cs="宋体"/>
                <w:sz w:val="20"/>
                <w:szCs w:val="20"/>
              </w:rPr>
              <w:t>.</w:t>
            </w:r>
            <w:r>
              <w:rPr>
                <w:rFonts w:hint="eastAsia" w:ascii="宋体" w:hAnsi="宋体" w:eastAsia="宋体" w:cs="宋体"/>
                <w:sz w:val="20"/>
                <w:szCs w:val="20"/>
              </w:rPr>
              <w:t>是否主张诉讼费用</w:t>
            </w:r>
          </w:p>
        </w:tc>
        <w:tc>
          <w:tcPr>
            <w:tcW w:w="6843" w:type="dxa"/>
            <w:gridSpan w:val="2"/>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其他请求</w:t>
            </w:r>
          </w:p>
        </w:tc>
        <w:tc>
          <w:tcPr>
            <w:tcW w:w="6843" w:type="dxa"/>
            <w:gridSpan w:val="2"/>
          </w:tcPr>
          <w:p>
            <w:pPr>
              <w:spacing w:line="276" w:lineRule="auto"/>
              <w:ind w:left="800" w:hanging="800" w:hangingChars="400"/>
              <w:jc w:val="left"/>
              <w:rPr>
                <w:rFonts w:hint="default"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是否涉外</w:t>
            </w:r>
          </w:p>
        </w:tc>
        <w:tc>
          <w:tcPr>
            <w:tcW w:w="6843"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涉及国家：</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是否涉港澳台</w:t>
            </w:r>
          </w:p>
        </w:tc>
        <w:tc>
          <w:tcPr>
            <w:tcW w:w="6843"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涉港</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涉澳</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涉台</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可完整表述纠纷涉及的事实与理由；为方便、准确梳理要点，相关内容请在下方要素式表格中填写</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1.</w:t>
            </w:r>
            <w:r>
              <w:rPr>
                <w:rFonts w:hint="eastAsia" w:cs="宋体" w:asciiTheme="minorEastAsia" w:hAnsiTheme="minorEastAsia"/>
                <w:sz w:val="20"/>
                <w:szCs w:val="20"/>
                <w:lang w:val="en-US" w:eastAsia="zh-CN"/>
              </w:rPr>
              <w:t>被诉垄断行为</w:t>
            </w:r>
          </w:p>
        </w:tc>
        <w:tc>
          <w:tcPr>
            <w:tcW w:w="6843" w:type="dxa"/>
            <w:gridSpan w:val="2"/>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具体内容：</w:t>
            </w:r>
            <w:r>
              <w:rPr>
                <w:rFonts w:hint="eastAsia" w:ascii="楷体" w:hAnsi="楷体" w:eastAsia="楷体" w:cs="楷体"/>
                <w:sz w:val="20"/>
                <w:szCs w:val="20"/>
                <w:lang w:val="en-US" w:eastAsia="zh-CN"/>
              </w:rPr>
              <w:t>（综述具体所诉垄断行为）</w:t>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实施垄断行为期间：</w:t>
            </w:r>
          </w:p>
          <w:p>
            <w:pPr>
              <w:spacing w:line="276" w:lineRule="auto"/>
              <w:ind w:left="2600" w:hanging="2600" w:hangingChars="13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是否为行政处罚的后继诉讼：</w:t>
            </w:r>
          </w:p>
          <w:p>
            <w:pPr>
              <w:spacing w:line="276" w:lineRule="auto"/>
              <w:ind w:left="2600" w:hanging="2600" w:hangingChars="13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w:t>
            </w:r>
            <w:r>
              <w:rPr>
                <w:rFonts w:hint="eastAsia" w:asciiTheme="minorEastAsia" w:hAnsiTheme="minorEastAsia"/>
                <w:sz w:val="20"/>
                <w:szCs w:val="20"/>
              </w:rPr>
              <w:sym w:font="Wingdings" w:char="00A8"/>
            </w:r>
            <w:r>
              <w:rPr>
                <w:rFonts w:hint="eastAsia" w:asciiTheme="minorEastAsia" w:hAnsiTheme="minorEastAsia"/>
                <w:sz w:val="20"/>
                <w:szCs w:val="20"/>
                <w:lang w:val="en-US" w:eastAsia="zh-CN"/>
              </w:rPr>
              <w:t xml:space="preserve">    </w:t>
            </w:r>
            <w:r>
              <w:rPr>
                <w:rFonts w:hint="eastAsia" w:asciiTheme="minorEastAsia" w:hAnsiTheme="minorEastAsia" w:cstheme="minorEastAsia"/>
                <w:sz w:val="20"/>
                <w:szCs w:val="20"/>
                <w:lang w:val="en-US" w:eastAsia="zh-CN"/>
              </w:rPr>
              <w:t>被诉行为及持续时间是否完全涵盖行政处罚所涉期间：是</w:t>
            </w:r>
            <w:r>
              <w:rPr>
                <w:rFonts w:hint="eastAsia" w:asciiTheme="minorEastAsia" w:hAnsiTheme="minorEastAsia"/>
                <w:sz w:val="20"/>
                <w:szCs w:val="20"/>
              </w:rPr>
              <w:sym w:font="Wingdings" w:char="00A8"/>
            </w:r>
            <w:r>
              <w:rPr>
                <w:rFonts w:hint="eastAsia" w:asciiTheme="minorEastAsia" w:hAnsiTheme="minorEastAsia" w:cstheme="minorEastAsia"/>
                <w:sz w:val="20"/>
                <w:szCs w:val="20"/>
                <w:lang w:val="en-US" w:eastAsia="zh-CN"/>
              </w:rPr>
              <w:t xml:space="preserve">  否</w:t>
            </w:r>
            <w:r>
              <w:rPr>
                <w:rFonts w:hint="eastAsia" w:asciiTheme="minorEastAsia" w:hAnsiTheme="minorEastAsia" w:cstheme="minorEastAsia"/>
                <w:sz w:val="20"/>
                <w:szCs w:val="20"/>
                <w:lang w:val="en-US" w:eastAsia="zh-CN"/>
              </w:rPr>
              <w:sym w:font="Wingdings" w:char="00A8"/>
            </w:r>
          </w:p>
          <w:p>
            <w:pPr>
              <w:spacing w:line="276" w:lineRule="auto"/>
              <w:ind w:left="2598" w:leftChars="380" w:hanging="1800" w:hangingChars="9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被告是否为行政处罚确定的实施主体：是</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否</w:t>
            </w:r>
            <w:r>
              <w:rPr>
                <w:rFonts w:hint="eastAsia"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否</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2.</w:t>
            </w:r>
            <w:r>
              <w:rPr>
                <w:rFonts w:hint="eastAsia" w:cs="宋体" w:asciiTheme="minorEastAsia" w:hAnsiTheme="minorEastAsia"/>
                <w:sz w:val="20"/>
                <w:szCs w:val="20"/>
                <w:lang w:val="en-US" w:eastAsia="zh-CN"/>
              </w:rPr>
              <w:t>共同侵权</w:t>
            </w:r>
          </w:p>
        </w:tc>
        <w:tc>
          <w:tcPr>
            <w:tcW w:w="6843" w:type="dxa"/>
            <w:gridSpan w:val="2"/>
          </w:tcPr>
          <w:p>
            <w:pPr>
              <w:spacing w:line="276" w:lineRule="auto"/>
              <w:jc w:val="left"/>
              <w:rPr>
                <w:rFonts w:hint="eastAsia" w:asciiTheme="minorEastAsia" w:hAnsiTheme="minorEastAsia"/>
                <w:sz w:val="20"/>
                <w:szCs w:val="20"/>
                <w:lang w:val="en-US" w:eastAsia="zh-CN"/>
              </w:rPr>
            </w:pPr>
            <w:r>
              <w:rPr>
                <w:rFonts w:hint="eastAsia" w:cs="宋体" w:asciiTheme="minorEastAsia" w:hAnsiTheme="minorEastAsia"/>
                <w:sz w:val="20"/>
                <w:szCs w:val="20"/>
                <w:lang w:val="en-US" w:eastAsia="zh-CN"/>
              </w:rPr>
              <w:t>有</w:t>
            </w:r>
            <w:r>
              <w:rPr>
                <w:rFonts w:hint="eastAsia" w:cs="宋体" w:asciiTheme="minorEastAsia" w:hAnsiTheme="minorEastAsia"/>
                <w:sz w:val="20"/>
                <w:szCs w:val="20"/>
                <w:lang w:val="en-US" w:eastAsia="zh-CN"/>
              </w:rPr>
              <w:sym w:font="Wingdings" w:char="00A8"/>
            </w:r>
            <w:r>
              <w:rPr>
                <w:rFonts w:hint="eastAsia" w:asciiTheme="minorEastAsia" w:hAnsiTheme="minorEastAsia"/>
                <w:sz w:val="20"/>
                <w:szCs w:val="20"/>
                <w:lang w:val="en-US" w:eastAsia="zh-CN"/>
              </w:rPr>
              <w:t xml:space="preserve">    主要事实与理由：</w:t>
            </w:r>
            <w:r>
              <w:rPr>
                <w:rFonts w:hint="eastAsia" w:ascii="楷体" w:hAnsi="楷体" w:eastAsia="楷体" w:cs="楷体"/>
                <w:sz w:val="20"/>
                <w:szCs w:val="20"/>
                <w:lang w:val="en-US" w:eastAsia="zh-CN"/>
              </w:rPr>
              <w:t>（一并写明共同侵权主体之间是否存在关联关系）</w:t>
            </w:r>
          </w:p>
          <w:p>
            <w:pPr>
              <w:spacing w:line="276" w:lineRule="auto"/>
              <w:jc w:val="left"/>
              <w:rPr>
                <w:rFonts w:hint="default" w:asciiTheme="minorEastAsia" w:hAnsiTheme="minorEastAsia"/>
                <w:sz w:val="20"/>
                <w:szCs w:val="20"/>
                <w:lang w:val="en-US" w:eastAsia="zh-CN"/>
              </w:rPr>
            </w:pPr>
            <w:r>
              <w:rPr>
                <w:rFonts w:hint="eastAsia" w:asciiTheme="minorEastAsia" w:hAnsiTheme="minorEastAsia"/>
                <w:sz w:val="20"/>
                <w:szCs w:val="20"/>
                <w:lang w:val="en-US" w:eastAsia="zh-CN"/>
              </w:rPr>
              <w:t>否</w:t>
            </w:r>
            <w:r>
              <w:rPr>
                <w:rFonts w:hint="eastAsia" w:asciiTheme="minorEastAsia" w:hAnsi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3</w:t>
            </w:r>
            <w:r>
              <w:rPr>
                <w:rFonts w:hint="eastAsia" w:cs="宋体" w:asciiTheme="minorEastAsia" w:hAnsiTheme="minorEastAsia"/>
                <w:sz w:val="20"/>
                <w:szCs w:val="20"/>
              </w:rPr>
              <w:t>.</w:t>
            </w:r>
            <w:r>
              <w:rPr>
                <w:rFonts w:hint="eastAsia" w:cs="宋体" w:asciiTheme="minorEastAsia" w:hAnsiTheme="minorEastAsia"/>
                <w:sz w:val="20"/>
                <w:szCs w:val="20"/>
                <w:lang w:val="en-US" w:eastAsia="zh-CN"/>
              </w:rPr>
              <w:t>相关市场界定</w:t>
            </w:r>
          </w:p>
        </w:tc>
        <w:tc>
          <w:tcPr>
            <w:tcW w:w="6843" w:type="dxa"/>
            <w:gridSpan w:val="2"/>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 xml:space="preserve">本案相关市场为        </w:t>
            </w:r>
            <w:r>
              <w:rPr>
                <w:rFonts w:hint="eastAsia" w:ascii="楷体" w:hAnsi="楷体" w:eastAsia="楷体" w:cs="楷体"/>
                <w:sz w:val="20"/>
                <w:szCs w:val="20"/>
                <w:lang w:val="en-US" w:eastAsia="zh-CN"/>
              </w:rPr>
              <w:t>（包括具体时间范围内的商品市场、地域市场）</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具体说明：</w:t>
            </w:r>
            <w:r>
              <w:rPr>
                <w:rFonts w:hint="eastAsia" w:ascii="楷体" w:hAnsi="楷体" w:eastAsia="楷体" w:cs="楷体"/>
                <w:sz w:val="20"/>
                <w:szCs w:val="20"/>
                <w:lang w:val="en-US" w:eastAsia="zh-CN"/>
              </w:rPr>
              <w:t>（原告主张被诉垄断行为属于反垄断法第十七条第一项至第五项和第十八条第一款第一项、第二项规定情形的，可以不对相关市场界定提供证据）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restart"/>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4</w:t>
            </w:r>
            <w:r>
              <w:rPr>
                <w:rFonts w:hint="eastAsia" w:cs="宋体" w:asciiTheme="minorEastAsia" w:hAnsiTheme="minorEastAsia"/>
                <w:sz w:val="20"/>
                <w:szCs w:val="20"/>
              </w:rPr>
              <w:t>.</w:t>
            </w:r>
            <w:r>
              <w:rPr>
                <w:rFonts w:hint="eastAsia" w:cs="宋体" w:asciiTheme="minorEastAsia" w:hAnsiTheme="minorEastAsia"/>
                <w:sz w:val="20"/>
                <w:szCs w:val="20"/>
                <w:lang w:val="en-US" w:eastAsia="zh-CN"/>
              </w:rPr>
              <w:t>具体垄断行为</w:t>
            </w:r>
          </w:p>
        </w:tc>
        <w:tc>
          <w:tcPr>
            <w:tcW w:w="6843" w:type="dxa"/>
            <w:gridSpan w:val="2"/>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被告达成</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/实施</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了横向垄断协议</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/纵向垄断协议</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/轴辐协议</w:t>
            </w:r>
            <w:r>
              <w:rPr>
                <w:rFonts w:hint="eastAsia" w:cs="宋体" w:asciiTheme="minorEastAsia" w:hAnsiTheme="minorEastAsia"/>
                <w:sz w:val="20"/>
                <w:szCs w:val="20"/>
                <w:lang w:val="en-US" w:eastAsia="zh-CN"/>
              </w:rPr>
              <w:sym w:font="Wingdings" w:char="00A8"/>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具体为：</w:t>
            </w:r>
          </w:p>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上述协议产生了排除、限制竞争效果，具体分析：</w:t>
            </w:r>
            <w:r>
              <w:rPr>
                <w:rFonts w:hint="eastAsia" w:ascii="楷体" w:hAnsi="楷体" w:eastAsia="楷体" w:cs="楷体"/>
                <w:sz w:val="20"/>
                <w:szCs w:val="20"/>
                <w:lang w:val="en-US" w:eastAsia="zh-CN"/>
              </w:rPr>
              <w:t>（适用于垄断协议纠纷）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37" w:type="dxa"/>
            <w:vMerge w:val="continue"/>
          </w:tcPr>
          <w:p>
            <w:pPr>
              <w:spacing w:line="276" w:lineRule="auto"/>
              <w:jc w:val="left"/>
            </w:pPr>
          </w:p>
        </w:tc>
        <w:tc>
          <w:tcPr>
            <w:tcW w:w="6843" w:type="dxa"/>
            <w:gridSpan w:val="2"/>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被告在        相关市场，具有市场支配地位，具体分析：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被告实施滥用市场支配地位的行为，具体包括：</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垄断定价</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掠夺定价</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拒绝交易</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限定交易</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捆绑交易</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差别待遇</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具体分析：</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被告的行为产生了排除、限制竞争效果，具体分析：</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b/>
                <w:bCs/>
                <w:sz w:val="20"/>
                <w:szCs w:val="20"/>
                <w:lang w:val="en-US" w:eastAsia="zh-CN"/>
              </w:rPr>
              <w:t>（适用于滥用市场支配地位纠纷）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5</w:t>
            </w:r>
            <w:r>
              <w:rPr>
                <w:rFonts w:cs="宋体" w:asciiTheme="minorEastAsia" w:hAnsiTheme="minorEastAsia"/>
                <w:sz w:val="20"/>
                <w:szCs w:val="20"/>
              </w:rPr>
              <w:t>.</w:t>
            </w:r>
            <w:r>
              <w:rPr>
                <w:rFonts w:hint="eastAsia" w:cs="宋体" w:asciiTheme="minorEastAsia" w:hAnsiTheme="minorEastAsia"/>
                <w:sz w:val="20"/>
                <w:szCs w:val="20"/>
              </w:rPr>
              <w:t>其他</w:t>
            </w:r>
          </w:p>
        </w:tc>
        <w:tc>
          <w:tcPr>
            <w:tcW w:w="6843" w:type="dxa"/>
            <w:gridSpan w:val="2"/>
          </w:tcPr>
          <w:p>
            <w:pPr>
              <w:spacing w:line="276" w:lineRule="auto"/>
              <w:jc w:val="left"/>
              <w:rPr>
                <w:rFonts w:hint="eastAsia" w:cs="宋体" w:asciiTheme="minorEastAsia" w:hAnsi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责任承担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1.停止</w:t>
            </w:r>
            <w:r>
              <w:rPr>
                <w:rFonts w:hint="eastAsia" w:ascii="宋体" w:hAnsi="宋体" w:eastAsia="宋体" w:cs="宋体"/>
                <w:sz w:val="20"/>
                <w:szCs w:val="20"/>
                <w:lang w:val="en-US" w:eastAsia="zh-CN"/>
              </w:rPr>
              <w:t>垄断行为</w:t>
            </w:r>
          </w:p>
        </w:tc>
        <w:tc>
          <w:tcPr>
            <w:tcW w:w="6843" w:type="dxa"/>
            <w:gridSpan w:val="2"/>
          </w:tcPr>
          <w:p>
            <w:pPr>
              <w:spacing w:line="276" w:lineRule="auto"/>
              <w:jc w:val="left"/>
              <w:rPr>
                <w:rFonts w:hint="eastAsia" w:cs="宋体" w:asciiTheme="minorEastAsia" w:hAnsiTheme="minorEastAsia" w:eastAsiaTheme="minorEastAsia"/>
                <w:sz w:val="20"/>
                <w:szCs w:val="20"/>
                <w:lang w:eastAsia="zh-CN"/>
              </w:rPr>
            </w:pPr>
            <w:r>
              <w:rPr>
                <w:rFonts w:hint="eastAsia" w:cs="宋体" w:asciiTheme="minorEastAsia" w:hAnsiTheme="minorEastAsia"/>
                <w:sz w:val="20"/>
                <w:szCs w:val="20"/>
              </w:rPr>
              <w:t>被告应当立即停止</w:t>
            </w:r>
            <w:r>
              <w:rPr>
                <w:rFonts w:hint="eastAsia" w:cs="宋体" w:asciiTheme="minorEastAsia" w:hAnsiTheme="minorEastAsia"/>
                <w:sz w:val="20"/>
                <w:szCs w:val="20"/>
                <w:lang w:val="en-US" w:eastAsia="zh-CN"/>
              </w:rPr>
              <w:t>垄断行为</w:t>
            </w:r>
            <w:r>
              <w:rPr>
                <w:rFonts w:hint="eastAsia" w:cs="宋体" w:asciiTheme="minorEastAsia" w:hAnsiTheme="minorEastAsia"/>
                <w:sz w:val="20"/>
                <w:szCs w:val="20"/>
                <w:lang w:eastAsia="zh-CN"/>
              </w:rPr>
              <w:t>。</w:t>
            </w:r>
            <w:r>
              <w:rPr>
                <w:rFonts w:hint="eastAsia" w:cs="宋体" w:asciiTheme="minorEastAsia" w:hAnsiTheme="minorEastAsia"/>
                <w:sz w:val="20"/>
                <w:szCs w:val="20"/>
              </w:rPr>
              <w:t>具体</w:t>
            </w:r>
            <w:r>
              <w:rPr>
                <w:rFonts w:hint="eastAsia" w:cs="宋体" w:asciiTheme="minorEastAsia" w:hAnsiTheme="minorEastAsia"/>
                <w:sz w:val="20"/>
                <w:szCs w:val="20"/>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Merge w:val="restart"/>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2.赔偿责任</w:t>
            </w:r>
          </w:p>
        </w:tc>
        <w:tc>
          <w:tcPr>
            <w:tcW w:w="6843" w:type="dxa"/>
            <w:gridSpan w:val="2"/>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经济损失：  元</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continue"/>
          </w:tcPr>
          <w:p>
            <w:pPr>
              <w:spacing w:line="276" w:lineRule="auto"/>
              <w:jc w:val="left"/>
              <w:rPr>
                <w:rFonts w:hint="eastAsia" w:ascii="宋体" w:hAnsi="宋体" w:eastAsia="宋体" w:cs="宋体"/>
                <w:sz w:val="20"/>
                <w:szCs w:val="20"/>
              </w:rPr>
            </w:pPr>
          </w:p>
        </w:tc>
        <w:tc>
          <w:tcPr>
            <w:tcW w:w="3357"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维权合理开支：  元</w:t>
            </w:r>
            <w:r>
              <w:rPr>
                <w:rFonts w:hint="eastAsia" w:cs="宋体" w:asciiTheme="minorEastAsia" w:hAnsiTheme="minorEastAsia"/>
                <w:sz w:val="20"/>
                <w:szCs w:val="20"/>
              </w:rPr>
              <w:t>。</w:t>
            </w:r>
            <w:r>
              <w:rPr>
                <w:rFonts w:cs="宋体" w:asciiTheme="minorEastAsia" w:hAnsiTheme="minorEastAsia"/>
                <w:sz w:val="20"/>
                <w:szCs w:val="20"/>
              </w:rPr>
              <w:t>包括：</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律师费</w:t>
            </w:r>
            <w:r>
              <w:rPr>
                <w:rFonts w:hint="eastAsia" w:cs="宋体" w:asciiTheme="minorEastAsia" w:hAnsiTheme="minorEastAsia"/>
                <w:sz w:val="20"/>
                <w:szCs w:val="20"/>
              </w:rPr>
              <w:sym w:font="Wingdings" w:char="00A8"/>
            </w:r>
            <w:r>
              <w:rPr>
                <w:rFonts w:hint="eastAsia" w:asciiTheme="minorEastAsia" w:hAnsiTheme="minorEastAsia"/>
                <w:sz w:val="20"/>
                <w:szCs w:val="20"/>
                <w:lang w:val="en-US" w:eastAsia="zh-CN"/>
              </w:rPr>
              <w:t xml:space="preserve">  </w:t>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经济分析</w:t>
            </w:r>
            <w:r>
              <w:rPr>
                <w:rFonts w:cs="宋体" w:asciiTheme="minorEastAsia" w:hAnsiTheme="minorEastAsia"/>
                <w:sz w:val="20"/>
                <w:szCs w:val="20"/>
              </w:rPr>
              <w:t>费</w:t>
            </w:r>
            <w:r>
              <w:rPr>
                <w:rFonts w:hint="eastAsia" w:cs="宋体" w:asciiTheme="minorEastAsia" w:hAnsiTheme="minorEastAsia"/>
                <w:sz w:val="20"/>
                <w:szCs w:val="20"/>
              </w:rPr>
              <w:sym w:font="Wingdings" w:char="00A8"/>
            </w:r>
            <w:r>
              <w:rPr>
                <w:rFonts w:hint="eastAsia" w:asciiTheme="minorEastAsia" w:hAnsiTheme="minorEastAsia"/>
                <w:sz w:val="20"/>
                <w:szCs w:val="20"/>
                <w:lang w:val="en-US" w:eastAsia="zh-CN"/>
              </w:rPr>
              <w:t xml:space="preserve">  </w:t>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hint="eastAsia" w:cs="宋体" w:asciiTheme="minorEastAsia" w:hAnsiTheme="minorEastAsia"/>
                <w:sz w:val="20"/>
                <w:szCs w:val="20"/>
                <w:lang w:val="en-US" w:eastAsia="zh-CN"/>
              </w:rPr>
              <w:t>市场调查</w:t>
            </w:r>
            <w:r>
              <w:rPr>
                <w:rFonts w:cs="宋体" w:asciiTheme="minorEastAsia" w:hAnsiTheme="minorEastAsia"/>
                <w:sz w:val="20"/>
                <w:szCs w:val="20"/>
              </w:rPr>
              <w:t>费</w:t>
            </w:r>
            <w:r>
              <w:rPr>
                <w:rFonts w:hint="eastAsia" w:cs="宋体" w:asciiTheme="minorEastAsia" w:hAnsiTheme="minorEastAsia"/>
                <w:sz w:val="20"/>
                <w:szCs w:val="20"/>
              </w:rPr>
              <w:sym w:font="Wingdings" w:char="00A8"/>
            </w:r>
            <w:r>
              <w:rPr>
                <w:rFonts w:hint="eastAsia" w:asciiTheme="minorEastAsia" w:hAnsiTheme="minorEastAsia"/>
                <w:sz w:val="20"/>
                <w:szCs w:val="20"/>
                <w:lang w:val="en-US" w:eastAsia="zh-CN"/>
              </w:rPr>
              <w:t xml:space="preserve">  </w:t>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cs="宋体" w:asciiTheme="minorEastAsia" w:hAnsiTheme="minorEastAsia"/>
                <w:sz w:val="20"/>
                <w:szCs w:val="20"/>
              </w:rPr>
              <w:t>其他费用</w:t>
            </w:r>
            <w:r>
              <w:rPr>
                <w:rFonts w:hint="eastAsia" w:cs="宋体" w:asciiTheme="minorEastAsia" w:hAnsiTheme="minorEastAsia"/>
                <w:sz w:val="20"/>
                <w:szCs w:val="20"/>
              </w:rPr>
              <w:sym w:font="Wingdings" w:char="00A8"/>
            </w:r>
            <w:r>
              <w:rPr>
                <w:rFonts w:hint="eastAsia" w:cs="宋体" w:asciiTheme="minorEastAsia" w:hAnsiTheme="minorEastAsia"/>
                <w:sz w:val="20"/>
                <w:szCs w:val="20"/>
              </w:rPr>
              <w:t xml:space="preserve"> </w:t>
            </w:r>
            <w:r>
              <w:rPr>
                <w:rFonts w:hint="eastAsia" w:cs="宋体" w:asciiTheme="minorEastAsia" w:hAnsiTheme="minorEastAsia"/>
                <w:sz w:val="20"/>
                <w:szCs w:val="20"/>
                <w:lang w:val="en-US" w:eastAsia="zh-CN"/>
              </w:rPr>
              <w:t xml:space="preserve">  </w:t>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cs="宋体" w:asciiTheme="minorEastAsia" w:hAnsiTheme="minorEastAsia"/>
                <w:b/>
                <w:bCs/>
                <w:sz w:val="20"/>
                <w:szCs w:val="20"/>
              </w:rPr>
              <w:t>（如不主张，可不填）</w:t>
            </w:r>
          </w:p>
        </w:tc>
        <w:tc>
          <w:tcPr>
            <w:tcW w:w="3486"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3.连带责任</w:t>
            </w:r>
          </w:p>
        </w:tc>
        <w:tc>
          <w:tcPr>
            <w:tcW w:w="6843" w:type="dxa"/>
            <w:gridSpan w:val="2"/>
          </w:tcPr>
          <w:p>
            <w:pPr>
              <w:pStyle w:val="16"/>
              <w:spacing w:line="316" w:lineRule="exact"/>
              <w:rPr>
                <w:rFonts w:hint="eastAsia" w:ascii="楷体" w:hAnsi="楷体" w:eastAsia="楷体" w:cs="楷体"/>
                <w:kern w:val="2"/>
                <w:sz w:val="20"/>
                <w:szCs w:val="20"/>
                <w:lang w:val="en-US" w:eastAsia="zh-CN" w:bidi="ar-SA"/>
              </w:rPr>
            </w:pPr>
            <w:r>
              <w:rPr>
                <w:rFonts w:hint="eastAsia" w:ascii="宋体" w:hAnsi="宋体" w:eastAsia="宋体" w:cs="宋体"/>
                <w:kern w:val="2"/>
                <w:sz w:val="20"/>
                <w:szCs w:val="20"/>
                <w:lang w:val="en-US" w:eastAsia="zh-CN" w:bidi="ar-SA"/>
              </w:rPr>
              <w:t>有</w:t>
            </w:r>
            <w:r>
              <w:rPr>
                <w:rFonts w:hint="eastAsia" w:ascii="宋体" w:hAnsi="宋体" w:eastAsia="宋体" w:cs="宋体"/>
                <w:kern w:val="2"/>
                <w:sz w:val="20"/>
                <w:szCs w:val="20"/>
                <w:lang w:val="en-US" w:eastAsia="zh-CN" w:bidi="ar-SA"/>
              </w:rPr>
              <w:sym w:font="Wingdings" w:char="00A8"/>
            </w:r>
            <w:r>
              <w:rPr>
                <w:rFonts w:hint="eastAsia" w:cs="Microsoft JhengHei" w:asciiTheme="minorEastAsia" w:hAnsiTheme="minorEastAsia"/>
                <w:color w:val="231F20"/>
                <w:w w:val="110"/>
                <w:sz w:val="20"/>
                <w:szCs w:val="20"/>
                <w:lang w:eastAsia="zh-CN"/>
              </w:rPr>
              <w:t xml:space="preserve">    </w:t>
            </w:r>
            <w:r>
              <w:rPr>
                <w:rFonts w:cs="Microsoft JhengHei" w:asciiTheme="minorEastAsia" w:hAnsiTheme="minorEastAsia"/>
                <w:color w:val="231F20"/>
                <w:spacing w:val="1"/>
                <w:w w:val="105"/>
                <w:sz w:val="20"/>
                <w:szCs w:val="20"/>
                <w:lang w:eastAsia="zh-CN"/>
              </w:rPr>
              <w:t>内</w:t>
            </w:r>
            <w:r>
              <w:rPr>
                <w:rFonts w:cs="Microsoft JhengHei" w:asciiTheme="minorEastAsia" w:hAnsiTheme="minorEastAsia"/>
                <w:color w:val="231F20"/>
                <w:w w:val="105"/>
                <w:sz w:val="20"/>
                <w:szCs w:val="20"/>
                <w:lang w:eastAsia="zh-CN"/>
              </w:rPr>
              <w:t>容</w:t>
            </w:r>
            <w:r>
              <w:rPr>
                <w:rFonts w:cs="Microsoft JhengHei" w:asciiTheme="minorEastAsia" w:hAnsiTheme="minorEastAsia"/>
                <w:color w:val="231F20"/>
                <w:spacing w:val="1"/>
                <w:w w:val="105"/>
                <w:sz w:val="20"/>
                <w:szCs w:val="20"/>
                <w:lang w:eastAsia="zh-CN"/>
              </w:rPr>
              <w:t>：</w:t>
            </w:r>
            <w:r>
              <w:rPr>
                <w:rFonts w:hint="eastAsia" w:ascii="楷体" w:hAnsi="楷体" w:eastAsia="楷体" w:cs="楷体"/>
                <w:kern w:val="2"/>
                <w:sz w:val="20"/>
                <w:szCs w:val="20"/>
                <w:lang w:val="en-US" w:eastAsia="zh-CN" w:bidi="ar-SA"/>
              </w:rPr>
              <w:t>（被告一××、被告二××构成共同侵权，应当连带赔偿原告经济损失  元、维权合理开支  元）</w:t>
            </w:r>
          </w:p>
          <w:p>
            <w:pPr>
              <w:pStyle w:val="16"/>
              <w:spacing w:line="316" w:lineRule="exact"/>
              <w:ind w:firstLine="848" w:firstLineChars="400"/>
              <w:rPr>
                <w:rFonts w:hint="eastAsia" w:cs="Microsoft JhengHei" w:asciiTheme="minorEastAsia" w:hAnsiTheme="minorEastAsia"/>
                <w:color w:val="231F20"/>
                <w:spacing w:val="1"/>
                <w:w w:val="105"/>
                <w:sz w:val="20"/>
                <w:szCs w:val="20"/>
                <w:lang w:val="en-US" w:eastAsia="zh-CN"/>
              </w:rPr>
            </w:pPr>
            <w:r>
              <w:rPr>
                <w:rFonts w:hint="eastAsia" w:cs="Microsoft JhengHei" w:asciiTheme="minorEastAsia" w:hAnsiTheme="minorEastAsia"/>
                <w:color w:val="231F20"/>
                <w:spacing w:val="1"/>
                <w:w w:val="105"/>
                <w:sz w:val="20"/>
                <w:szCs w:val="20"/>
                <w:lang w:val="en-US" w:eastAsia="zh-CN"/>
              </w:rPr>
              <w:t>具体理由：</w:t>
            </w:r>
          </w:p>
          <w:p>
            <w:pPr>
              <w:pStyle w:val="16"/>
              <w:spacing w:line="316" w:lineRule="exact"/>
              <w:rPr>
                <w:rFonts w:hint="eastAsia" w:cs="Microsoft JhengHei" w:asciiTheme="minorEastAsia" w:hAnsiTheme="minorEastAsia"/>
                <w:sz w:val="20"/>
                <w:szCs w:val="20"/>
                <w:lang w:eastAsia="zh-CN"/>
              </w:rPr>
            </w:pPr>
            <w:r>
              <w:rPr>
                <w:rFonts w:hint="eastAsia" w:ascii="宋体" w:hAnsi="宋体" w:eastAsia="宋体" w:cs="宋体"/>
                <w:kern w:val="2"/>
                <w:sz w:val="20"/>
                <w:szCs w:val="20"/>
                <w:lang w:val="en-US" w:eastAsia="zh-CN" w:bidi="ar-SA"/>
              </w:rPr>
              <w:t>无</w:t>
            </w:r>
            <w:r>
              <w:rPr>
                <w:rFonts w:hint="eastAsia" w:ascii="宋体" w:hAnsi="宋体" w:eastAsia="宋体" w:cs="宋体"/>
                <w:kern w:val="2"/>
                <w:sz w:val="20"/>
                <w:szCs w:val="20"/>
                <w:lang w:val="en-US" w:eastAsia="zh-CN" w:bidi="ar-SA"/>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4.其他责任</w:t>
            </w:r>
          </w:p>
        </w:tc>
        <w:tc>
          <w:tcPr>
            <w:tcW w:w="6843" w:type="dxa"/>
            <w:gridSpan w:val="2"/>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sz w:val="20"/>
                <w:szCs w:val="20"/>
              </w:rPr>
              <w:sym w:font="Wingdings" w:char="00A8"/>
            </w:r>
            <w:r>
              <w:rPr>
                <w:rFonts w:hint="eastAsia" w:ascii="宋体" w:hAnsi="宋体" w:eastAsia="宋体" w:cs="宋体"/>
                <w:sz w:val="20"/>
                <w:szCs w:val="20"/>
              </w:rPr>
              <w:t xml:space="preserve">    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5.法律依据</w:t>
            </w:r>
          </w:p>
        </w:tc>
        <w:tc>
          <w:tcPr>
            <w:tcW w:w="6843" w:type="dxa"/>
            <w:gridSpan w:val="2"/>
          </w:tcPr>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（详见附件</w:t>
            </w:r>
            <w:r>
              <w:rPr>
                <w:rFonts w:hint="eastAsia" w:ascii="宋体" w:hAnsi="宋体" w:eastAsia="宋体" w:cs="宋体"/>
                <w:sz w:val="20"/>
                <w:szCs w:val="20"/>
                <w:lang w:val="en-US" w:eastAsia="zh-CN"/>
              </w:rPr>
              <w:t>2</w:t>
            </w:r>
            <w:r>
              <w:rPr>
                <w:rFonts w:hint="eastAsia" w:ascii="宋体" w:hAnsi="宋体" w:eastAsia="宋体" w:cs="宋体"/>
                <w:sz w:val="20"/>
                <w:szCs w:val="20"/>
              </w:rPr>
              <w:t>关联案件信息表）</w:t>
            </w:r>
          </w:p>
          <w:p>
            <w:pPr>
              <w:spacing w:line="276" w:lineRule="auto"/>
              <w:ind w:left="799" w:leftChars="190" w:hanging="400" w:hanging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截至目前，被告相关垄断行为        ，反垄断执法机构正在调查</w:t>
            </w:r>
            <w:r>
              <w:rPr>
                <w:rFonts w:hint="eastAsia" w:asciiTheme="minorEastAsia" w:hAnsiTheme="minorEastAsia"/>
                <w:sz w:val="20"/>
                <w:szCs w:val="20"/>
              </w:rPr>
              <w:sym w:font="Wingdings 2" w:char="00A3"/>
            </w:r>
            <w:r>
              <w:rPr>
                <w:rFonts w:hint="eastAsia" w:ascii="宋体" w:hAnsi="宋体" w:eastAsia="宋体" w:cs="宋体"/>
                <w:sz w:val="20"/>
                <w:szCs w:val="20"/>
                <w:lang w:val="en-US" w:eastAsia="zh-CN"/>
              </w:rPr>
              <w:t>/做出处罚</w:t>
            </w:r>
            <w:r>
              <w:rPr>
                <w:rFonts w:hint="eastAsia" w:asciiTheme="minorEastAsia" w:hAnsiTheme="minorEastAsia"/>
                <w:sz w:val="20"/>
                <w:szCs w:val="20"/>
              </w:rPr>
              <w:sym w:font="Wingdings 2" w:char="00A3"/>
            </w:r>
            <w:r>
              <w:rPr>
                <w:rFonts w:hint="eastAsia" w:ascii="宋体" w:hAnsi="宋体" w:eastAsia="宋体" w:cs="宋体"/>
                <w:sz w:val="20"/>
                <w:szCs w:val="20"/>
                <w:lang w:val="en-US" w:eastAsia="zh-CN"/>
              </w:rPr>
              <w:t>。具体情况：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 xml:space="preserve">    件</w:t>
            </w:r>
            <w:r>
              <w:rPr>
                <w:rFonts w:hint="eastAsia" w:ascii="宋体" w:hAnsi="宋体" w:eastAsia="宋体" w:cs="宋体"/>
                <w:sz w:val="20"/>
                <w:szCs w:val="20"/>
                <w:lang w:val="en-US" w:eastAsia="zh-CN"/>
              </w:rPr>
              <w:t>垄断</w:t>
            </w:r>
            <w:r>
              <w:rPr>
                <w:rFonts w:hint="eastAsia" w:ascii="宋体" w:hAnsi="宋体" w:eastAsia="宋体" w:cs="宋体"/>
                <w:sz w:val="20"/>
                <w:szCs w:val="20"/>
              </w:rPr>
              <w:t>民事案件</w:t>
            </w:r>
            <w:r>
              <w:rPr>
                <w:rFonts w:hint="eastAsia" w:ascii="宋体" w:hAnsi="宋体" w:eastAsia="宋体" w:cs="宋体"/>
                <w:sz w:val="20"/>
                <w:szCs w:val="20"/>
                <w:lang w:val="en-US" w:eastAsia="zh-CN"/>
              </w:rPr>
              <w:t>。</w:t>
            </w:r>
            <w:r>
              <w:rPr>
                <w:rFonts w:hint="eastAsia" w:ascii="宋体" w:hAnsi="宋体" w:eastAsia="宋体" w:cs="宋体"/>
                <w:sz w:val="20"/>
                <w:szCs w:val="20"/>
              </w:rPr>
              <w:t>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 xml:space="preserve">    件其他关联案件</w:t>
            </w:r>
            <w:r>
              <w:rPr>
                <w:rFonts w:hint="eastAsia" w:ascii="宋体" w:hAnsi="宋体" w:eastAsia="宋体" w:cs="宋体"/>
                <w:sz w:val="20"/>
                <w:szCs w:val="20"/>
                <w:lang w:val="en-US" w:eastAsia="zh-CN"/>
              </w:rPr>
              <w:t>。</w:t>
            </w:r>
            <w:r>
              <w:rPr>
                <w:rFonts w:hint="eastAsia" w:ascii="宋体" w:hAnsi="宋体" w:eastAsia="宋体" w:cs="宋体"/>
                <w:sz w:val="20"/>
                <w:szCs w:val="20"/>
              </w:rPr>
              <w:t>具体情况：</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pacing w:line="276" w:lineRule="auto"/>
              <w:jc w:val="left"/>
              <w:rPr>
                <w:rFonts w:hint="eastAsia" w:ascii="楷体" w:hAnsi="楷体" w:eastAsia="楷体" w:cs="楷体"/>
                <w:sz w:val="20"/>
                <w:szCs w:val="20"/>
              </w:rPr>
            </w:pPr>
            <w:r>
              <w:rPr>
                <w:rFonts w:hint="eastAsia" w:ascii="楷体" w:hAnsi="楷体" w:eastAsia="楷体" w:cs="楷体"/>
                <w:sz w:val="20"/>
                <w:szCs w:val="20"/>
                <w:lang w:eastAsia="zh-CN"/>
              </w:rPr>
              <w:t>（</w:t>
            </w:r>
            <w:r>
              <w:rPr>
                <w:rFonts w:hint="eastAsia" w:ascii="楷体" w:hAnsi="楷体" w:eastAsia="楷体" w:cs="楷体"/>
                <w:sz w:val="20"/>
                <w:szCs w:val="20"/>
              </w:rPr>
              <w:t>1.原告证据</w:t>
            </w:r>
          </w:p>
          <w:p>
            <w:pPr>
              <w:spacing w:line="276" w:lineRule="auto"/>
              <w:jc w:val="left"/>
              <w:rPr>
                <w:rFonts w:hint="eastAsia" w:ascii="楷体" w:hAnsi="楷体" w:eastAsia="楷体" w:cs="楷体"/>
                <w:sz w:val="20"/>
                <w:szCs w:val="20"/>
                <w:lang w:eastAsia="zh-CN"/>
              </w:rPr>
            </w:pPr>
            <w:r>
              <w:rPr>
                <w:rFonts w:hint="eastAsia" w:ascii="楷体" w:hAnsi="楷体" w:eastAsia="楷体" w:cs="楷体"/>
                <w:sz w:val="20"/>
                <w:szCs w:val="20"/>
              </w:rPr>
              <w:t>2.关联案件信息表</w:t>
            </w: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参照发明专利侵权民事起诉状后附表</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rPr>
              <w:t xml:space="preserve">         </w:t>
            </w:r>
            <w:r>
              <w:rPr>
                <w:rFonts w:hint="eastAsia" w:ascii="楷体" w:hAnsi="楷体" w:eastAsia="楷体" w:cs="楷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0" w:type="dxa"/>
            <w:gridSpan w:val="3"/>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43"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是否了解先行调解解决纠纷的好处</w:t>
            </w:r>
          </w:p>
        </w:tc>
        <w:tc>
          <w:tcPr>
            <w:tcW w:w="6843"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hint="eastAsia"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是否考虑先行调解</w:t>
            </w:r>
          </w:p>
        </w:tc>
        <w:tc>
          <w:tcPr>
            <w:tcW w:w="6843"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hint="eastAsia" w:ascii="宋体" w:hAnsi="宋体" w:eastAsia="宋体" w:cs="宋体"/>
          <w:b/>
          <w:bCs/>
          <w:sz w:val="42"/>
          <w:szCs w:val="42"/>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sectPr>
          <w:footerReference r:id="rId4" w:type="default"/>
          <w:headerReference r:id="rId3" w:type="even"/>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pPr>
        <w:suppressAutoHyphens/>
        <w:spacing w:line="276" w:lineRule="auto"/>
        <w:jc w:val="center"/>
        <w:rPr>
          <w:rFonts w:hint="eastAsia" w:ascii="宋体" w:hAnsi="宋体" w:eastAsia="宋体" w:cs="宋体"/>
          <w:sz w:val="20"/>
          <w:szCs w:val="20"/>
          <w:lang w:val="en-US" w:eastAsia="zh-CN" w:bidi="ar"/>
        </w:rPr>
      </w:pPr>
      <w:r>
        <w:rPr>
          <w:rFonts w:hint="eastAsia" w:ascii="方正小标宋简体" w:hAnsi="宋体" w:eastAsia="方正小标宋简体" w:cs="Times New Roman"/>
          <w:sz w:val="36"/>
          <w:szCs w:val="36"/>
          <w:lang w:val="en-US" w:eastAsia="zh-CN" w:bidi="ar"/>
        </w:rPr>
        <w:t>原告证据目录</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2103"/>
        <w:gridCol w:w="2103"/>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编号</w:t>
            </w:r>
          </w:p>
        </w:tc>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页码</w:t>
            </w:r>
          </w:p>
        </w:tc>
        <w:tc>
          <w:tcPr>
            <w:tcW w:w="1133"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证据名称</w:t>
            </w:r>
          </w:p>
        </w:tc>
        <w:tc>
          <w:tcPr>
            <w:tcW w:w="1133"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证据来源</w:t>
            </w:r>
          </w:p>
        </w:tc>
        <w:tc>
          <w:tcPr>
            <w:tcW w:w="135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1.相关市场界定证据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1-1</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1-2</w:t>
            </w:r>
          </w:p>
        </w:tc>
        <w:tc>
          <w:tcPr>
            <w:tcW w:w="687"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357" w:type="pct"/>
          </w:tcPr>
          <w:p>
            <w:pPr>
              <w:suppressAutoHyphens/>
              <w:spacing w:line="276" w:lineRule="auto"/>
              <w:jc w:val="both"/>
              <w:rPr>
                <w:rFonts w:hint="default"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1-3</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2.具体垄断行为证据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2-1</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2-2</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2-3</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3.责任承担证据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3-1</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3-2</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3-3</w:t>
            </w:r>
          </w:p>
        </w:tc>
        <w:tc>
          <w:tcPr>
            <w:tcW w:w="687"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357" w:type="pct"/>
          </w:tcPr>
          <w:p>
            <w:pPr>
              <w:suppressAutoHyphens/>
              <w:spacing w:line="276" w:lineRule="auto"/>
              <w:jc w:val="both"/>
              <w:rPr>
                <w:rFonts w:hint="default"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4.其他证据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4-1</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4-2</w:t>
            </w:r>
          </w:p>
        </w:tc>
        <w:tc>
          <w:tcPr>
            <w:tcW w:w="687"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133" w:type="pct"/>
          </w:tcPr>
          <w:p>
            <w:pPr>
              <w:suppressAutoHyphens/>
              <w:spacing w:line="276" w:lineRule="auto"/>
              <w:jc w:val="both"/>
              <w:rPr>
                <w:rFonts w:hint="eastAsia" w:ascii="宋体" w:hAnsi="宋体" w:eastAsia="宋体" w:cs="宋体"/>
                <w:sz w:val="20"/>
                <w:szCs w:val="20"/>
                <w:lang w:val="en-US" w:eastAsia="zh-CN" w:bidi="ar"/>
              </w:rPr>
            </w:pPr>
          </w:p>
        </w:tc>
        <w:tc>
          <w:tcPr>
            <w:tcW w:w="1357"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Pr>
          <w:p>
            <w:pPr>
              <w:suppressAutoHyphens/>
              <w:spacing w:line="276" w:lineRule="auto"/>
              <w:jc w:val="center"/>
              <w:rPr>
                <w:rFonts w:hint="default" w:ascii="宋体" w:hAnsi="宋体" w:eastAsia="宋体" w:cs="宋体"/>
                <w:sz w:val="20"/>
                <w:szCs w:val="20"/>
                <w:lang w:val="en-US" w:eastAsia="zh-CN" w:bidi="ar"/>
              </w:rPr>
            </w:pPr>
            <w:r>
              <w:rPr>
                <w:rFonts w:hint="eastAsia" w:ascii="宋体" w:hAnsi="宋体" w:eastAsia="宋体" w:cs="宋体"/>
                <w:sz w:val="20"/>
                <w:szCs w:val="20"/>
                <w:lang w:val="en-US" w:eastAsia="zh-CN" w:bidi="ar"/>
              </w:rPr>
              <w:t>4-3</w:t>
            </w:r>
          </w:p>
        </w:tc>
        <w:tc>
          <w:tcPr>
            <w:tcW w:w="687"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133" w:type="pct"/>
          </w:tcPr>
          <w:p>
            <w:pPr>
              <w:suppressAutoHyphens/>
              <w:spacing w:line="276" w:lineRule="auto"/>
              <w:jc w:val="both"/>
              <w:rPr>
                <w:rFonts w:hint="default" w:ascii="宋体" w:hAnsi="宋体" w:eastAsia="宋体" w:cs="宋体"/>
                <w:sz w:val="20"/>
                <w:szCs w:val="20"/>
                <w:lang w:val="en-US" w:eastAsia="zh-CN" w:bidi="ar"/>
              </w:rPr>
            </w:pPr>
          </w:p>
        </w:tc>
        <w:tc>
          <w:tcPr>
            <w:tcW w:w="1357" w:type="pct"/>
          </w:tcPr>
          <w:p>
            <w:pPr>
              <w:suppressAutoHyphens/>
              <w:spacing w:line="276" w:lineRule="auto"/>
              <w:jc w:val="both"/>
              <w:rPr>
                <w:rFonts w:hint="default" w:ascii="宋体" w:hAnsi="宋体" w:eastAsia="宋体" w:cs="宋体"/>
                <w:sz w:val="20"/>
                <w:szCs w:val="20"/>
                <w:lang w:val="en-US" w:eastAsia="zh-CN" w:bidi="ar"/>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eastAsia" w:ascii="宋体" w:hAnsi="宋体" w:eastAsia="宋体" w:cs="宋体"/>
          <w:sz w:val="20"/>
          <w:szCs w:val="20"/>
          <w:lang w:bidi="ar"/>
        </w:rPr>
      </w:pPr>
      <w:r>
        <w:rPr>
          <w:rFonts w:hint="eastAsia" w:ascii="方正小标宋简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6B0005"/>
    <w:rsid w:val="02E220C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671131"/>
    <w:rsid w:val="08EE786F"/>
    <w:rsid w:val="090C3286"/>
    <w:rsid w:val="0923593D"/>
    <w:rsid w:val="0A0E1374"/>
    <w:rsid w:val="0A1259E1"/>
    <w:rsid w:val="0AC03CA7"/>
    <w:rsid w:val="0B2927D0"/>
    <w:rsid w:val="0B613662"/>
    <w:rsid w:val="0B8C15FE"/>
    <w:rsid w:val="0BB51797"/>
    <w:rsid w:val="0BC727C6"/>
    <w:rsid w:val="0BDE6F3F"/>
    <w:rsid w:val="0BF95F1B"/>
    <w:rsid w:val="0C105A94"/>
    <w:rsid w:val="0C300E1D"/>
    <w:rsid w:val="0C3304C2"/>
    <w:rsid w:val="0D246F57"/>
    <w:rsid w:val="0D503252"/>
    <w:rsid w:val="0DD1795C"/>
    <w:rsid w:val="0E550CD3"/>
    <w:rsid w:val="0E803068"/>
    <w:rsid w:val="0E8D06FC"/>
    <w:rsid w:val="0F0E10A8"/>
    <w:rsid w:val="0F380424"/>
    <w:rsid w:val="0F576E62"/>
    <w:rsid w:val="0F9643AD"/>
    <w:rsid w:val="0FD351EA"/>
    <w:rsid w:val="0FED59A3"/>
    <w:rsid w:val="103E486A"/>
    <w:rsid w:val="1046495F"/>
    <w:rsid w:val="11897783"/>
    <w:rsid w:val="11ED2C4E"/>
    <w:rsid w:val="12F94C57"/>
    <w:rsid w:val="1301562A"/>
    <w:rsid w:val="131F1078"/>
    <w:rsid w:val="14DA6A78"/>
    <w:rsid w:val="15724363"/>
    <w:rsid w:val="15A84A0F"/>
    <w:rsid w:val="15BE04D1"/>
    <w:rsid w:val="15C41DC5"/>
    <w:rsid w:val="17A53209"/>
    <w:rsid w:val="17DD7339"/>
    <w:rsid w:val="181A2CFE"/>
    <w:rsid w:val="183E4E91"/>
    <w:rsid w:val="19116408"/>
    <w:rsid w:val="191E02D6"/>
    <w:rsid w:val="19B149ED"/>
    <w:rsid w:val="19C56A6C"/>
    <w:rsid w:val="19DE5CD3"/>
    <w:rsid w:val="1A8B21C1"/>
    <w:rsid w:val="1ACD5720"/>
    <w:rsid w:val="1B0E1A5D"/>
    <w:rsid w:val="1B4D36AA"/>
    <w:rsid w:val="1B9370A5"/>
    <w:rsid w:val="1BCC5A75"/>
    <w:rsid w:val="1C3F5BE8"/>
    <w:rsid w:val="1C6427CC"/>
    <w:rsid w:val="1C7558BE"/>
    <w:rsid w:val="1C8D69A6"/>
    <w:rsid w:val="1CA61122"/>
    <w:rsid w:val="1CBB1806"/>
    <w:rsid w:val="1CF75B24"/>
    <w:rsid w:val="1E9439C2"/>
    <w:rsid w:val="202334B1"/>
    <w:rsid w:val="20D01159"/>
    <w:rsid w:val="20F05CF6"/>
    <w:rsid w:val="211424A6"/>
    <w:rsid w:val="21C603EE"/>
    <w:rsid w:val="22AF4D3A"/>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9EA52F4"/>
    <w:rsid w:val="2A11195B"/>
    <w:rsid w:val="2A1D271C"/>
    <w:rsid w:val="2A97752E"/>
    <w:rsid w:val="2ABB3E95"/>
    <w:rsid w:val="2BB16143"/>
    <w:rsid w:val="2C8D512D"/>
    <w:rsid w:val="2CFB41DE"/>
    <w:rsid w:val="2D331A95"/>
    <w:rsid w:val="2D33417F"/>
    <w:rsid w:val="2D4B511A"/>
    <w:rsid w:val="2DB47F9C"/>
    <w:rsid w:val="2E333410"/>
    <w:rsid w:val="2E702EB0"/>
    <w:rsid w:val="30454BCD"/>
    <w:rsid w:val="30C15CB4"/>
    <w:rsid w:val="328B29F0"/>
    <w:rsid w:val="32B12B1E"/>
    <w:rsid w:val="32D16C5C"/>
    <w:rsid w:val="337E11EA"/>
    <w:rsid w:val="33BD781C"/>
    <w:rsid w:val="33DC16A3"/>
    <w:rsid w:val="342C4C62"/>
    <w:rsid w:val="349E4EFA"/>
    <w:rsid w:val="34CB78A0"/>
    <w:rsid w:val="35352FE9"/>
    <w:rsid w:val="35935DF5"/>
    <w:rsid w:val="35A0618D"/>
    <w:rsid w:val="35B30245"/>
    <w:rsid w:val="360A6217"/>
    <w:rsid w:val="36C43710"/>
    <w:rsid w:val="372D024D"/>
    <w:rsid w:val="37A335A3"/>
    <w:rsid w:val="382007BD"/>
    <w:rsid w:val="38D01806"/>
    <w:rsid w:val="38D3500A"/>
    <w:rsid w:val="3922056D"/>
    <w:rsid w:val="39655A78"/>
    <w:rsid w:val="39CD4E8B"/>
    <w:rsid w:val="39D762C9"/>
    <w:rsid w:val="39E10461"/>
    <w:rsid w:val="3A2801BE"/>
    <w:rsid w:val="3A886677"/>
    <w:rsid w:val="3AA328F4"/>
    <w:rsid w:val="3B4B61A3"/>
    <w:rsid w:val="3B764E93"/>
    <w:rsid w:val="3C213BF5"/>
    <w:rsid w:val="3C6B3490"/>
    <w:rsid w:val="3CC27081"/>
    <w:rsid w:val="3D3C393E"/>
    <w:rsid w:val="3D421C50"/>
    <w:rsid w:val="3E6A2F86"/>
    <w:rsid w:val="3EC76B54"/>
    <w:rsid w:val="3F230ED8"/>
    <w:rsid w:val="3F367F1D"/>
    <w:rsid w:val="3FF12D30"/>
    <w:rsid w:val="40050660"/>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6187E50"/>
    <w:rsid w:val="464C17F0"/>
    <w:rsid w:val="466E5B03"/>
    <w:rsid w:val="46F752D4"/>
    <w:rsid w:val="47172AA3"/>
    <w:rsid w:val="472B3A30"/>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E20BC"/>
    <w:rsid w:val="4E23222F"/>
    <w:rsid w:val="4E864C08"/>
    <w:rsid w:val="4EE67B0A"/>
    <w:rsid w:val="4F5550EB"/>
    <w:rsid w:val="4F626628"/>
    <w:rsid w:val="4FC86A95"/>
    <w:rsid w:val="50703F86"/>
    <w:rsid w:val="50C50B26"/>
    <w:rsid w:val="50DB387E"/>
    <w:rsid w:val="50FA2CEF"/>
    <w:rsid w:val="510746C6"/>
    <w:rsid w:val="52A44DC3"/>
    <w:rsid w:val="52E16ECB"/>
    <w:rsid w:val="532E5F1B"/>
    <w:rsid w:val="53683F40"/>
    <w:rsid w:val="536A301F"/>
    <w:rsid w:val="536A6FA8"/>
    <w:rsid w:val="53877FA0"/>
    <w:rsid w:val="53F10B5C"/>
    <w:rsid w:val="540C27A0"/>
    <w:rsid w:val="54722B7A"/>
    <w:rsid w:val="549E07CC"/>
    <w:rsid w:val="55697417"/>
    <w:rsid w:val="55D873DD"/>
    <w:rsid w:val="56894032"/>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583022"/>
    <w:rsid w:val="5BAB2C55"/>
    <w:rsid w:val="5C304508"/>
    <w:rsid w:val="5C3A25B5"/>
    <w:rsid w:val="5C3E0CC0"/>
    <w:rsid w:val="5C4943A0"/>
    <w:rsid w:val="5CD64D27"/>
    <w:rsid w:val="5CE77665"/>
    <w:rsid w:val="5CF64305"/>
    <w:rsid w:val="5D0440FF"/>
    <w:rsid w:val="5D1C18CC"/>
    <w:rsid w:val="5D2B2E5F"/>
    <w:rsid w:val="5D3B4FAE"/>
    <w:rsid w:val="5D5249BC"/>
    <w:rsid w:val="5E0368F6"/>
    <w:rsid w:val="5E044246"/>
    <w:rsid w:val="5E070FAB"/>
    <w:rsid w:val="5FBF31B3"/>
    <w:rsid w:val="5FC37153"/>
    <w:rsid w:val="601613CA"/>
    <w:rsid w:val="61026EA9"/>
    <w:rsid w:val="614150CD"/>
    <w:rsid w:val="61833CD8"/>
    <w:rsid w:val="61AE540E"/>
    <w:rsid w:val="61CC411F"/>
    <w:rsid w:val="62121B84"/>
    <w:rsid w:val="621D7BA8"/>
    <w:rsid w:val="624A31F4"/>
    <w:rsid w:val="636C5508"/>
    <w:rsid w:val="637F38AA"/>
    <w:rsid w:val="63E62F74"/>
    <w:rsid w:val="63E63410"/>
    <w:rsid w:val="649D6039"/>
    <w:rsid w:val="64B639B2"/>
    <w:rsid w:val="64FB738F"/>
    <w:rsid w:val="6584337E"/>
    <w:rsid w:val="65991AC5"/>
    <w:rsid w:val="66BA5B15"/>
    <w:rsid w:val="672B6DFB"/>
    <w:rsid w:val="673B3A73"/>
    <w:rsid w:val="67B10F88"/>
    <w:rsid w:val="67EB3CDD"/>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457B24"/>
    <w:rsid w:val="6DB72D70"/>
    <w:rsid w:val="6DF26FC2"/>
    <w:rsid w:val="6ED522EA"/>
    <w:rsid w:val="6F8A6141"/>
    <w:rsid w:val="6FB40F38"/>
    <w:rsid w:val="701557F7"/>
    <w:rsid w:val="7055578D"/>
    <w:rsid w:val="705B5122"/>
    <w:rsid w:val="70A11939"/>
    <w:rsid w:val="71EC2F5F"/>
    <w:rsid w:val="71FA6D52"/>
    <w:rsid w:val="72C75056"/>
    <w:rsid w:val="72DC4795"/>
    <w:rsid w:val="734B1181"/>
    <w:rsid w:val="73DD5247"/>
    <w:rsid w:val="74122000"/>
    <w:rsid w:val="74DA3A60"/>
    <w:rsid w:val="75910862"/>
    <w:rsid w:val="75AE180A"/>
    <w:rsid w:val="75E36485"/>
    <w:rsid w:val="761B67FB"/>
    <w:rsid w:val="766C0AB1"/>
    <w:rsid w:val="76A42E74"/>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4070</Words>
  <Characters>4357</Characters>
  <Lines>210</Lines>
  <Paragraphs>307</Paragraphs>
  <TotalTime>1</TotalTime>
  <ScaleCrop>false</ScaleCrop>
  <LinksUpToDate>false</LinksUpToDate>
  <CharactersWithSpaces>5033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2025-07-17T07:27:29Z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756659FCB26D49C0912F8BA170BA2B73_13</vt:lpwstr>
  </property>
  <property fmtid="{D5CDD505-2E9C-101B-9397-08002B2CF9AE}" pid="4" name="KSOTemplateDocerSaveRecord">
    <vt:lpwstr>eyJoZGlkIjoiZmU2NWUxM2FlOWRmMjJlYWY5MjQxMzc3MGYwYjY2NzgiLCJ1c2VySWQiOiIxMTMxNzAzNjE1In0=</vt:lpwstr>
  </property>
</Properties>
</file>