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  <w:lang w:eastAsia="zh-CN"/>
        </w:rPr>
        <w:t>垄断纠纷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）</w:t>
      </w:r>
    </w:p>
    <w:tbl>
      <w:tblPr>
        <w:tblStyle w:val="5"/>
        <w:tblW w:w="904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57"/>
        <w:gridCol w:w="2365"/>
        <w:gridCol w:w="939"/>
        <w:gridCol w:w="3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5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律师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903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903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出生日期：        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职务（员工担任代理人需写明部门）：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与原告关系（近亲属担任委托诉讼代理人）：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399" w:leftChars="19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推荐单位（当事人所在社区、单位以及有关社会团体推荐的公民担任委托诉讼代理人）：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 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        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个人独资企业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合伙企业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所有制性质：国有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（控股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  民营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"/>
              </w:rPr>
              <w:t>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如不具有以下情况，可不填：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外资情况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：中外合资经营企业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中外合作经营企业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外商独资企业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其他形式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200" w:firstLineChars="6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出资方：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200" w:firstLineChars="6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份额构成：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：上市所在交易所：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专精特新中小企业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律师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Hlk200986504"/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出生日期：        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职务（员工担任代理人需写明部门）：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与原告关系（近亲属担任委托诉讼代理人）：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399" w:leftChars="19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推荐单位（当事人所在社区、单位以及有关社会团体推荐的公民担任委托诉讼代理人）：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 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停止垄断行为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有无异议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2.对赔偿经济损失有无异议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3.对赔偿维权合理开支有无异议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.对承担连带赔偿责任有无异议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5.对非金钱给付义务迟延履行金有无异议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6.对诉讼费用有无异议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7.对其他请求有无异议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1.对原告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资格是否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有异议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对相关市场界定是否有异议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（包括具体时间范围内的商品市场、地域市场）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45" w:type="dxa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对被诉垄断行为具体情况有无异议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800" w:firstLineChars="4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被诉垄断行为不能成立，主要理由为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800" w:firstLineChars="4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被告未达成/实施垄断协议。具体分析：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800" w:firstLineChars="4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涉案协议不具有排除、限制竞争效果。具体分析：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2" w:firstLineChars="3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  <w:lang w:eastAsia="zh-CN"/>
              </w:rPr>
              <w:t>（适用于垄断协议纠纷）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45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800" w:firstLineChars="4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被诉垄断行为不能成立，主要理由为：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800" w:firstLineChars="40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被告不具有市场支配地位。具体分析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798" w:leftChars="38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被告未实施垄断定价/掠夺定价/拒绝交易/限定交易/捆绑交易/差别待遇的行为。具体分析：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800" w:firstLineChars="4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涉案行为不具有排除、限制竞争效果。具体分析：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2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（适用于滥用市场支配地位纠纷）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对被诉共同侵权有无异议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.对赔偿数额和具体赔偿项目有无异议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6.其他抗辩事由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法律依据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关联案件/程序情况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（详见附件3关联案件信息表）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截至目前，被告未被反垄断执法机构作出处罚/被告相关垄断行为    ，反垄断执法机构正在调查/作出处罚。具体情况：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件垄断民事案件。具体情况：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件其他关联案件。具体情况：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" w:hRule="atLeast"/>
        </w:trPr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（1.被告证据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2.对原告证据的质证意见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3.关联案件信息表（参照发明专利侵权民事起诉状后附表）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……）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9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ind w:firstLine="3240" w:firstLineChars="9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firstLine="5760" w:firstLineChars="16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  <w:bookmarkStart w:id="1" w:name="_GoBack"/>
      <w:bookmarkEnd w:id="1"/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firstLine="5760" w:firstLineChars="16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3" w:type="default"/>
          <w:type w:val="continuous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eastAsia" w:ascii="宋体" w:hAnsi="宋体" w:eastAsia="宋体" w:cs="宋体"/>
          <w:sz w:val="20"/>
          <w:szCs w:val="2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被告证据目录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5"/>
        <w:gridCol w:w="2103"/>
        <w:gridCol w:w="2103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页码</w:t>
            </w: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证据来源</w:t>
            </w: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1.相关市场界定证据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1-2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1-3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2.被诉垄断行为证据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2-3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3-3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4-1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4-2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4-3</w:t>
            </w:r>
          </w:p>
        </w:tc>
        <w:tc>
          <w:tcPr>
            <w:tcW w:w="68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13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5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对原告证据的质证意见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  <w:t>（依照原告提交的证据目录顺序排列）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0"/>
        <w:gridCol w:w="1310"/>
        <w:gridCol w:w="1310"/>
        <w:gridCol w:w="1310"/>
        <w:gridCol w:w="3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真实性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合法性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关联性</w:t>
            </w: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有无证明力及证明力大小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1.相关市场界定证据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认可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不认可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理由：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认可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不认可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理由：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认可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不认可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理由：</w:t>
            </w: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4-3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1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EE4B1B"/>
    <w:rsid w:val="0E6B25E0"/>
    <w:rsid w:val="0F2D7FC5"/>
    <w:rsid w:val="0F364EA2"/>
    <w:rsid w:val="0F86458B"/>
    <w:rsid w:val="0FED59A3"/>
    <w:rsid w:val="10230E97"/>
    <w:rsid w:val="10602B4E"/>
    <w:rsid w:val="115D4462"/>
    <w:rsid w:val="11897783"/>
    <w:rsid w:val="119028C5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EFA62C4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494FE0"/>
    <w:rsid w:val="28BC7E86"/>
    <w:rsid w:val="28CB26AB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CF59F0"/>
    <w:rsid w:val="30FE1366"/>
    <w:rsid w:val="31327CC7"/>
    <w:rsid w:val="31A1198D"/>
    <w:rsid w:val="31ED7C5B"/>
    <w:rsid w:val="328B29F0"/>
    <w:rsid w:val="32ED534A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6A15E2F"/>
    <w:rsid w:val="37840664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ED95B5F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A5E20"/>
    <w:rsid w:val="513E47BA"/>
    <w:rsid w:val="51984184"/>
    <w:rsid w:val="52141869"/>
    <w:rsid w:val="531D5224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6F9E54E7"/>
    <w:rsid w:val="70002AE5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2519</Words>
  <Characters>2685</Characters>
  <Lines>16</Lines>
  <Paragraphs>4</Paragraphs>
  <TotalTime>0</TotalTime>
  <ScaleCrop>false</ScaleCrop>
  <LinksUpToDate>false</LinksUpToDate>
  <CharactersWithSpaces>2906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2025-07-10T11:16:50Z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4ED4447D1E8E4DF2A8F6E2C4618BB2C1_13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