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AD89">
      <w:pPr>
        <w:pStyle w:val="2"/>
        <w:bidi w:val="0"/>
      </w:pPr>
      <w:r/>
    </w:p>
    <w:p w14:paraId="03178F2C">
      <w:pPr>
        <w:pStyle w:val="3"/>
        <w:spacing w:line="242" w:lineRule="auto"/>
      </w:pPr>
    </w:p>
    <w:p w14:paraId="6449E733">
      <w:pPr>
        <w:pStyle w:val="3"/>
        <w:spacing w:line="243" w:lineRule="auto"/>
      </w:pPr>
    </w:p>
    <w:p w14:paraId="3A654D08">
      <w:pPr>
        <w:pStyle w:val="3"/>
        <w:spacing w:line="243" w:lineRule="auto"/>
      </w:pPr>
    </w:p>
    <w:p w14:paraId="7E4349E7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21D7E0F6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31A021BA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（保证保险合同纠纷）</w:t>
      </w:r>
    </w:p>
    <w:p w14:paraId="3E09ED51">
      <w:pPr>
        <w:spacing w:line="222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02"/>
        <w:gridCol w:w="1677"/>
        <w:gridCol w:w="613"/>
        <w:gridCol w:w="406"/>
        <w:gridCol w:w="4378"/>
      </w:tblGrid>
      <w:tr w14:paraId="42A695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DCEF30F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263058A">
            <w:pPr>
              <w:pStyle w:val="9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751BDBC">
            <w:pPr>
              <w:pStyle w:val="9"/>
              <w:spacing w:before="4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659C3E7">
            <w:pPr>
              <w:pStyle w:val="9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C454BD5">
            <w:pPr>
              <w:pStyle w:val="9"/>
              <w:spacing w:before="43" w:line="239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DD6BCFF">
            <w:pPr>
              <w:pStyle w:val="9"/>
              <w:spacing w:before="14" w:line="235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5DF42DF4">
            <w:pPr>
              <w:pStyle w:val="9"/>
              <w:spacing w:before="46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7B1A0E7A">
            <w:pPr>
              <w:pStyle w:val="9"/>
              <w:spacing w:before="45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885F907">
            <w:pPr>
              <w:pStyle w:val="9"/>
              <w:spacing w:before="46" w:line="230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0986B3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8" w:type="dxa"/>
            <w:tcBorders>
              <w:left w:val="single" w:color="231F20" w:sz="4" w:space="0"/>
            </w:tcBorders>
            <w:noWrap w:val="0"/>
            <w:vAlign w:val="top"/>
          </w:tcPr>
          <w:p w14:paraId="7DE5B4E9">
            <w:pPr>
              <w:pStyle w:val="9"/>
              <w:spacing w:before="86" w:line="208" w:lineRule="auto"/>
              <w:ind w:left="322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79" w:type="dxa"/>
            <w:gridSpan w:val="2"/>
            <w:noWrap w:val="0"/>
            <w:vAlign w:val="top"/>
          </w:tcPr>
          <w:p w14:paraId="60F9AF9F">
            <w:pPr>
              <w:spacing w:before="80" w:line="230" w:lineRule="auto"/>
              <w:ind w:left="1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（2022）京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民初  ×× 号</w:t>
            </w:r>
          </w:p>
        </w:tc>
        <w:tc>
          <w:tcPr>
            <w:tcW w:w="1019" w:type="dxa"/>
            <w:gridSpan w:val="2"/>
            <w:noWrap w:val="0"/>
            <w:vAlign w:val="top"/>
          </w:tcPr>
          <w:p w14:paraId="45E7AD58">
            <w:pPr>
              <w:pStyle w:val="9"/>
              <w:spacing w:before="86" w:line="208" w:lineRule="auto"/>
              <w:ind w:left="30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378" w:type="dxa"/>
            <w:tcBorders>
              <w:right w:val="single" w:color="231F20" w:sz="4" w:space="0"/>
            </w:tcBorders>
            <w:noWrap w:val="0"/>
            <w:vAlign w:val="top"/>
          </w:tcPr>
          <w:p w14:paraId="65E1620D">
            <w:pPr>
              <w:spacing w:before="80" w:line="230" w:lineRule="auto"/>
              <w:ind w:left="135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保证保险合同纠纷</w:t>
            </w:r>
          </w:p>
        </w:tc>
      </w:tr>
      <w:tr w14:paraId="109BC7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946F379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C8C65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F7F865A">
            <w:pPr>
              <w:spacing w:line="297" w:lineRule="auto"/>
              <w:rPr>
                <w:rFonts w:ascii="Arial"/>
                <w:sz w:val="21"/>
              </w:rPr>
            </w:pPr>
          </w:p>
          <w:p w14:paraId="3F361465">
            <w:pPr>
              <w:spacing w:line="297" w:lineRule="auto"/>
              <w:rPr>
                <w:rFonts w:ascii="Arial"/>
                <w:sz w:val="21"/>
              </w:rPr>
            </w:pPr>
          </w:p>
          <w:p w14:paraId="0037713F">
            <w:pPr>
              <w:spacing w:line="298" w:lineRule="auto"/>
              <w:rPr>
                <w:rFonts w:ascii="Arial"/>
                <w:sz w:val="21"/>
              </w:rPr>
            </w:pPr>
          </w:p>
          <w:p w14:paraId="633D447E">
            <w:pPr>
              <w:spacing w:line="298" w:lineRule="auto"/>
              <w:rPr>
                <w:rFonts w:ascii="Arial"/>
                <w:sz w:val="21"/>
              </w:rPr>
            </w:pPr>
          </w:p>
          <w:p w14:paraId="771E933F">
            <w:pPr>
              <w:pStyle w:val="9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8B63D84">
            <w:pPr>
              <w:pStyle w:val="9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杜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45BD3B23">
            <w:pPr>
              <w:pStyle w:val="9"/>
              <w:spacing w:before="78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49F86A5C">
            <w:pPr>
              <w:pStyle w:val="9"/>
              <w:spacing w:before="40" w:line="230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19×× </w:t>
            </w:r>
            <w:r>
              <w:rPr>
                <w:color w:val="231F20"/>
                <w:spacing w:val="-7"/>
              </w:rPr>
              <w:t xml:space="preserve">年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color w:val="231F20"/>
                <w:spacing w:val="-7"/>
              </w:rPr>
              <w:t xml:space="preserve">月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 </w:t>
            </w:r>
            <w:r>
              <w:rPr>
                <w:color w:val="231F20"/>
                <w:spacing w:val="-7"/>
              </w:rPr>
              <w:t xml:space="preserve">日                  民族：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 族</w:t>
            </w:r>
          </w:p>
          <w:p w14:paraId="4EE36FCC">
            <w:pPr>
              <w:pStyle w:val="9"/>
              <w:spacing w:before="39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工作单位：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公司        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职员</w:t>
            </w:r>
          </w:p>
          <w:p w14:paraId="4C805156">
            <w:pPr>
              <w:pStyle w:val="9"/>
              <w:spacing w:before="40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739FA601">
            <w:pPr>
              <w:pStyle w:val="9"/>
              <w:spacing w:before="38" w:line="229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4"/>
              </w:rPr>
              <w:t>住所地（户籍所在地</w:t>
            </w:r>
            <w:r>
              <w:rPr>
                <w:color w:val="231F20"/>
                <w:spacing w:val="3"/>
              </w:rPr>
              <w:t>）：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北京市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 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 号</w:t>
            </w:r>
          </w:p>
          <w:p w14:paraId="2AB5434D">
            <w:pPr>
              <w:pStyle w:val="9"/>
              <w:spacing w:before="41" w:line="230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北京市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64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号</w:t>
            </w:r>
          </w:p>
          <w:p w14:paraId="2E28E491">
            <w:pPr>
              <w:pStyle w:val="9"/>
              <w:spacing w:before="39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65115E6">
            <w:pPr>
              <w:pStyle w:val="9"/>
              <w:spacing w:before="4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14:paraId="24309A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59C2C54">
            <w:pPr>
              <w:spacing w:line="255" w:lineRule="auto"/>
              <w:rPr>
                <w:rFonts w:ascii="Arial"/>
                <w:sz w:val="21"/>
              </w:rPr>
            </w:pPr>
          </w:p>
          <w:p w14:paraId="48DA9B05">
            <w:pPr>
              <w:spacing w:line="255" w:lineRule="auto"/>
              <w:rPr>
                <w:rFonts w:ascii="Arial"/>
                <w:sz w:val="21"/>
              </w:rPr>
            </w:pPr>
          </w:p>
          <w:p w14:paraId="3703C0FE">
            <w:pPr>
              <w:spacing w:line="255" w:lineRule="auto"/>
              <w:rPr>
                <w:rFonts w:ascii="Arial"/>
                <w:sz w:val="21"/>
              </w:rPr>
            </w:pPr>
          </w:p>
          <w:p w14:paraId="5E45FD61">
            <w:pPr>
              <w:spacing w:line="255" w:lineRule="auto"/>
              <w:rPr>
                <w:rFonts w:ascii="Arial"/>
                <w:sz w:val="21"/>
              </w:rPr>
            </w:pPr>
          </w:p>
          <w:p w14:paraId="6A3D9653">
            <w:pPr>
              <w:spacing w:line="255" w:lineRule="auto"/>
              <w:rPr>
                <w:rFonts w:ascii="Arial"/>
                <w:sz w:val="21"/>
              </w:rPr>
            </w:pPr>
          </w:p>
          <w:p w14:paraId="1D80994B">
            <w:pPr>
              <w:spacing w:line="255" w:lineRule="auto"/>
              <w:rPr>
                <w:rFonts w:ascii="Arial"/>
                <w:sz w:val="21"/>
              </w:rPr>
            </w:pPr>
          </w:p>
          <w:p w14:paraId="4D8C26D9">
            <w:pPr>
              <w:pStyle w:val="9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4BEC06FF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31D11790">
            <w:pPr>
              <w:pStyle w:val="9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390C3E5A">
            <w:pPr>
              <w:pStyle w:val="9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FEA23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4990F6DF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3E41D2F9">
            <w:pPr>
              <w:pStyle w:val="9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6A727B6">
            <w:pPr>
              <w:pStyle w:val="9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AFC333D">
            <w:pPr>
              <w:pStyle w:val="9"/>
              <w:spacing w:before="3" w:line="238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3FEB6DF2">
            <w:pPr>
              <w:spacing w:line="334" w:lineRule="auto"/>
              <w:rPr>
                <w:rFonts w:ascii="Arial"/>
                <w:sz w:val="21"/>
              </w:rPr>
            </w:pPr>
          </w:p>
          <w:p w14:paraId="5793A885">
            <w:pPr>
              <w:pStyle w:val="9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7A2B51F">
            <w:pPr>
              <w:spacing w:line="327" w:lineRule="auto"/>
              <w:rPr>
                <w:rFonts w:ascii="Arial"/>
                <w:sz w:val="21"/>
              </w:rPr>
            </w:pPr>
          </w:p>
          <w:p w14:paraId="07B1BF59">
            <w:pPr>
              <w:pStyle w:val="9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BE8E4C9">
            <w:pPr>
              <w:pStyle w:val="9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72933FE4">
            <w:pPr>
              <w:pStyle w:val="9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FEE29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05A98D1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61743BA">
            <w:pPr>
              <w:pStyle w:val="9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C79C367">
            <w:pPr>
              <w:pStyle w:val="9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45727A4A">
      <w:pPr>
        <w:pStyle w:val="3"/>
      </w:pPr>
    </w:p>
    <w:p w14:paraId="42CEA1A3">
      <w:pPr>
        <w:sectPr>
          <w:headerReference r:id="rId5" w:type="default"/>
          <w:footerReference r:id="rId6" w:type="default"/>
          <w:footerReference w:type="even" r:id="rId14"/>
          <w:pgSz w:w="11906" w:h="16838"/>
          <w:pgMar w:top="400" w:right="1417" w:bottom="998" w:left="1133" w:header="0" w:footer="810" w:gutter="0"/>
          <w:cols w:space="720" w:num="1"/>
        </w:sectPr>
      </w:pPr>
    </w:p>
    <w:p w14:paraId="61455FCC">
      <w:pPr>
        <w:spacing w:before="41"/>
      </w:pPr>
    </w:p>
    <w:p w14:paraId="5A3D0B21">
      <w:pPr>
        <w:spacing w:before="41"/>
      </w:pPr>
    </w:p>
    <w:p w14:paraId="4140F18F">
      <w:pPr>
        <w:spacing w:before="41"/>
      </w:pPr>
    </w:p>
    <w:p w14:paraId="5F0C48F8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29F3F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420514">
            <w:pPr>
              <w:spacing w:line="346" w:lineRule="auto"/>
              <w:rPr>
                <w:rFonts w:ascii="Arial"/>
                <w:sz w:val="21"/>
              </w:rPr>
            </w:pPr>
          </w:p>
          <w:p w14:paraId="60B5EBA0">
            <w:pPr>
              <w:spacing w:line="347" w:lineRule="auto"/>
              <w:rPr>
                <w:rFonts w:ascii="Arial"/>
                <w:sz w:val="21"/>
              </w:rPr>
            </w:pPr>
          </w:p>
          <w:p w14:paraId="6C4CD812">
            <w:pPr>
              <w:pStyle w:val="9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828127">
            <w:pPr>
              <w:pStyle w:val="9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46614978">
            <w:pPr>
              <w:pStyle w:val="9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0A70196A">
            <w:pPr>
              <w:pStyle w:val="9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68486540">
            <w:pPr>
              <w:pStyle w:val="9"/>
              <w:spacing w:before="33" w:line="217" w:lineRule="auto"/>
              <w:ind w:left="82" w:right="1001" w:firstLine="420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</w:tc>
      </w:tr>
      <w:tr w14:paraId="527FA1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1EFD092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19B6CA4D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7AEFF6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AA387DA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C54A1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3BCA16">
            <w:pPr>
              <w:spacing w:line="345" w:lineRule="auto"/>
              <w:rPr>
                <w:rFonts w:ascii="Arial"/>
                <w:sz w:val="21"/>
              </w:rPr>
            </w:pPr>
          </w:p>
          <w:p w14:paraId="60ED1644">
            <w:pPr>
              <w:pStyle w:val="9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>1. 对理赔款有无异议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DEBC20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22081F9">
            <w:pPr>
              <w:pStyle w:val="9"/>
              <w:spacing w:before="72" w:line="213" w:lineRule="auto"/>
              <w:ind w:left="128" w:right="79" w:hanging="4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不能确认原告已经支付的理赔款数额；从 2019 年 4</w:t>
            </w:r>
            <w:r>
              <w:rPr>
                <w:rFonts w:ascii="方正楷体_GBK" w:hAnsi="方正楷体_GBK" w:eastAsia="方正楷体_GBK" w:cs="方正楷体_GBK"/>
                <w:color w:val="231F20"/>
                <w:spacing w:val="36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月 25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日开始被告已经还款 196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万，本金基本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已还清。</w:t>
            </w:r>
          </w:p>
        </w:tc>
      </w:tr>
      <w:tr w14:paraId="45A4A1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CF1F75">
            <w:pPr>
              <w:pStyle w:val="9"/>
              <w:spacing w:before="95" w:line="241" w:lineRule="auto"/>
              <w:ind w:left="84" w:right="84" w:firstLine="1"/>
            </w:pPr>
            <w:r>
              <w:rPr>
                <w:color w:val="231F20"/>
                <w:spacing w:val="-1"/>
              </w:rPr>
              <w:t>2. 对保险费、违约金等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79D9D0A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773B086">
            <w:pPr>
              <w:pStyle w:val="9"/>
              <w:spacing w:before="73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原告各项费率约定过高。</w:t>
            </w:r>
          </w:p>
        </w:tc>
      </w:tr>
      <w:tr w14:paraId="765529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692E76">
            <w:pPr>
              <w:pStyle w:val="9"/>
              <w:spacing w:before="97"/>
              <w:ind w:left="82" w:right="84" w:firstLine="6"/>
            </w:pPr>
            <w:r>
              <w:rPr>
                <w:color w:val="231F20"/>
                <w:spacing w:val="-1"/>
              </w:rPr>
              <w:t>3. 对实现债权的费用有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FC875DA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0C4698A">
            <w:pPr>
              <w:pStyle w:val="9"/>
              <w:spacing w:before="73" w:line="178" w:lineRule="auto"/>
              <w:ind w:left="84"/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异议内容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：原告聘请律师享受法律服务，应自负律师费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3"/>
              </w:rPr>
              <w:t>。</w:t>
            </w:r>
          </w:p>
        </w:tc>
      </w:tr>
      <w:tr w14:paraId="112BCC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97799B">
            <w:pPr>
              <w:pStyle w:val="9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D8A4A5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B7CAB02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0E9D4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1A92BE">
            <w:pPr>
              <w:spacing w:line="347" w:lineRule="auto"/>
              <w:rPr>
                <w:rFonts w:ascii="Arial"/>
                <w:sz w:val="21"/>
              </w:rPr>
            </w:pPr>
          </w:p>
          <w:p w14:paraId="6EAB29A7">
            <w:pPr>
              <w:pStyle w:val="9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5.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9F8DA01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0E8AD17">
            <w:pPr>
              <w:pStyle w:val="9"/>
              <w:spacing w:before="72" w:line="213" w:lineRule="auto"/>
              <w:ind w:left="105" w:right="101" w:hanging="2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被告已将本金基本还清，部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分款项被原告截留，应当予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以扣减。</w:t>
            </w:r>
          </w:p>
        </w:tc>
      </w:tr>
      <w:tr w14:paraId="3E023E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E56CF8C">
            <w:pPr>
              <w:spacing w:before="70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F6B34E6">
            <w:pPr>
              <w:spacing w:line="221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383214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FA8E62">
            <w:pPr>
              <w:spacing w:before="84" w:line="263" w:lineRule="auto"/>
              <w:ind w:left="89" w:right="2" w:firstLine="4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签订协议时相关费率约定并未明确提示，合同约定的各项费率标准过高。被告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已将本金基本还清。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原告提交的 5 个合同中，其中有 2 个合同上的签字不是被告本人所签。原告是否已支付理赔款不能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确定。债权人</w:t>
            </w:r>
            <w:r>
              <w:rPr>
                <w:rFonts w:ascii="方正楷体_GBK" w:hAnsi="方正楷体_GBK" w:eastAsia="方正楷体_GBK" w:cs="方正楷体_GBK"/>
                <w:color w:val="231F20"/>
                <w:spacing w:val="5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×× 信托公司是否具备向社会不特定对象发放贷款的资质不能确认，被告与债权人之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间的借款合同无效。</w:t>
            </w:r>
          </w:p>
        </w:tc>
      </w:tr>
      <w:tr w14:paraId="77BC7B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2A5E11A">
            <w:pPr>
              <w:pStyle w:val="9"/>
              <w:spacing w:before="88" w:line="236" w:lineRule="auto"/>
              <w:ind w:left="84" w:right="84" w:firstLine="18"/>
            </w:pPr>
            <w:r>
              <w:rPr>
                <w:color w:val="231F20"/>
                <w:spacing w:val="-2"/>
              </w:rPr>
              <w:t>1. 对保证保险合同的签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订情况有无异议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9E83EC8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3E79756E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F2B07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4B8318">
            <w:pPr>
              <w:pStyle w:val="9"/>
              <w:spacing w:before="97"/>
              <w:ind w:left="82" w:right="84" w:firstLine="3"/>
            </w:pPr>
            <w:r>
              <w:rPr>
                <w:color w:val="231F20"/>
                <w:spacing w:val="-1"/>
              </w:rPr>
              <w:t>2. 对保证保险合同的主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要约定有无异议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4FF8140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0CAE01E">
            <w:pPr>
              <w:pStyle w:val="9"/>
              <w:spacing w:before="73" w:line="177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合同约定的滞纳金标准过高。</w:t>
            </w:r>
          </w:p>
        </w:tc>
      </w:tr>
      <w:tr w14:paraId="5CB2AC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17B203">
            <w:pPr>
              <w:pStyle w:val="9"/>
              <w:spacing w:before="91" w:line="248" w:lineRule="auto"/>
              <w:ind w:left="82" w:right="84" w:firstLine="6"/>
              <w:jc w:val="both"/>
            </w:pPr>
            <w:r>
              <w:rPr>
                <w:color w:val="231F20"/>
                <w:spacing w:val="-1"/>
              </w:rPr>
              <w:t>3. 对原告对被告就保证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2"/>
              </w:rPr>
              <w:t>保险合同主要条款进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1"/>
              </w:rPr>
              <w:t>行提示注意、说明的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F53E7C">
            <w:pPr>
              <w:spacing w:line="345" w:lineRule="auto"/>
              <w:rPr>
                <w:rFonts w:ascii="Arial"/>
                <w:sz w:val="21"/>
              </w:rPr>
            </w:pPr>
          </w:p>
          <w:p w14:paraId="40299A77">
            <w:pPr>
              <w:pStyle w:val="9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23A87F5">
            <w:pPr>
              <w:pStyle w:val="9"/>
              <w:spacing w:before="72" w:line="184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签订协议时相关费率约定并未明确提示。</w:t>
            </w:r>
          </w:p>
        </w:tc>
      </w:tr>
    </w:tbl>
    <w:p w14:paraId="23DC6E46">
      <w:pPr>
        <w:pStyle w:val="3"/>
      </w:pPr>
    </w:p>
    <w:p w14:paraId="04021E12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432B1E5">
      <w:pPr>
        <w:spacing w:before="41"/>
      </w:pPr>
    </w:p>
    <w:p w14:paraId="2FAC91CA">
      <w:pPr>
        <w:spacing w:before="41"/>
      </w:pPr>
    </w:p>
    <w:p w14:paraId="124B7A84">
      <w:pPr>
        <w:spacing w:before="41"/>
      </w:pPr>
    </w:p>
    <w:p w14:paraId="474E1C99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4DE36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C73E7E">
            <w:pPr>
              <w:spacing w:line="344" w:lineRule="auto"/>
              <w:rPr>
                <w:rFonts w:ascii="Arial"/>
                <w:sz w:val="21"/>
              </w:rPr>
            </w:pPr>
          </w:p>
          <w:p w14:paraId="1FD86B72">
            <w:pPr>
              <w:pStyle w:val="9"/>
              <w:spacing w:before="78" w:line="262" w:lineRule="auto"/>
              <w:ind w:left="82" w:right="84"/>
            </w:pPr>
            <w:r>
              <w:rPr>
                <w:color w:val="231F20"/>
                <w:spacing w:val="-1"/>
              </w:rPr>
              <w:t>4. 对被告借款合同的主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要约定有无异议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251FA2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501CC62">
            <w:pPr>
              <w:pStyle w:val="9"/>
              <w:spacing w:before="73" w:line="232" w:lineRule="auto"/>
              <w:ind w:left="86" w:right="8" w:hanging="2"/>
              <w:rPr>
                <w:rFonts w:ascii="方正楷体_GBK" w:hAnsi="方正楷体_GBK" w:eastAsia="方正楷体_GBK" w:cs="方正楷体_GBK"/>
              </w:rPr>
            </w:pPr>
            <w:bookmarkStart w:id="0" w:name="bookmark307"/>
            <w:bookmarkEnd w:id="0"/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合同约定的各项费率标准过高；被告除了和  ×× 信托</w:t>
            </w:r>
            <w:r>
              <w:rPr>
                <w:rFonts w:ascii="方正楷体_GBK" w:hAnsi="方正楷体_GBK" w:eastAsia="方正楷体_GBK" w:cs="方正楷体_GBK"/>
                <w:color w:val="231F20"/>
                <w:spacing w:val="8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公司线下签了一个借款合同，其余全是线上签订，原告提交的</w:t>
            </w:r>
            <w:r>
              <w:rPr>
                <w:rFonts w:ascii="方正楷体_GBK" w:hAnsi="方正楷体_GBK" w:eastAsia="方正楷体_GBK" w:cs="方正楷体_GBK"/>
                <w:color w:val="231F20"/>
                <w:spacing w:val="31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5 个合同中，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其中有 2 个合同上的签字不是被告本人所签，借款合同是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否有效不能确定。</w:t>
            </w:r>
          </w:p>
        </w:tc>
      </w:tr>
      <w:tr w14:paraId="7D7307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186E0D2">
            <w:pPr>
              <w:pStyle w:val="9"/>
              <w:spacing w:before="94" w:line="241" w:lineRule="auto"/>
              <w:ind w:left="84" w:right="84"/>
            </w:pPr>
            <w:r>
              <w:rPr>
                <w:color w:val="231F20"/>
                <w:spacing w:val="-1"/>
              </w:rPr>
              <w:t>5. 对被告逾期未还款情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4468887">
            <w:pPr>
              <w:pStyle w:val="9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C9DA5B8">
            <w:pPr>
              <w:pStyle w:val="9"/>
              <w:spacing w:before="72" w:line="17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被告已将本金基本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还清。</w:t>
            </w:r>
          </w:p>
        </w:tc>
      </w:tr>
      <w:tr w14:paraId="6A30F3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546552">
            <w:pPr>
              <w:pStyle w:val="9"/>
              <w:spacing w:before="95" w:line="241" w:lineRule="auto"/>
              <w:ind w:left="83" w:right="84" w:firstLine="3"/>
            </w:pPr>
            <w:r>
              <w:rPr>
                <w:color w:val="231F20"/>
                <w:spacing w:val="-1"/>
              </w:rPr>
              <w:t>6. 对保证保险合同的履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行情况有无异议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2062675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74D12DC">
            <w:pPr>
              <w:pStyle w:val="9"/>
              <w:spacing w:before="72" w:line="17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原告是否已支付理赔款不能确定。</w:t>
            </w:r>
          </w:p>
        </w:tc>
      </w:tr>
      <w:tr w14:paraId="305200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B3E8CC">
            <w:pPr>
              <w:pStyle w:val="9"/>
              <w:spacing w:before="265" w:line="209" w:lineRule="auto"/>
              <w:ind w:left="84"/>
            </w:pPr>
            <w:r>
              <w:rPr>
                <w:color w:val="231F20"/>
                <w:spacing w:val="-1"/>
              </w:rPr>
              <w:t>7. 对追索情况有无异议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37BCCCE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4C6ED5C">
            <w:pPr>
              <w:pStyle w:val="9"/>
              <w:spacing w:before="72" w:line="17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被告未收到原告追索相关信息。</w:t>
            </w:r>
          </w:p>
        </w:tc>
      </w:tr>
      <w:tr w14:paraId="271624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400F16">
            <w:pPr>
              <w:pStyle w:val="9"/>
              <w:spacing w:before="85" w:line="237" w:lineRule="auto"/>
              <w:ind w:left="84" w:right="85" w:firstLine="3"/>
            </w:pPr>
            <w:r>
              <w:rPr>
                <w:color w:val="231F20"/>
                <w:spacing w:val="2"/>
              </w:rPr>
              <w:t>8. 有无其他免责 / 减责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60EC89C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ECB6C3A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2E022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31290A3">
            <w:pPr>
              <w:pStyle w:val="9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9.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574666">
            <w:pPr>
              <w:pStyle w:val="9"/>
              <w:spacing w:before="81" w:line="227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《关于保证保险业务及债务清偿安排之协议书》</w:t>
            </w:r>
          </w:p>
          <w:p w14:paraId="5ABADAA5">
            <w:pPr>
              <w:pStyle w:val="9"/>
              <w:spacing w:before="43" w:line="21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《中华人民共和国保险法》</w:t>
            </w:r>
          </w:p>
        </w:tc>
      </w:tr>
      <w:tr w14:paraId="45DFA3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E936C6">
            <w:pPr>
              <w:pStyle w:val="9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10.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97D87BB">
            <w:pPr>
              <w:spacing w:before="82" w:line="252" w:lineRule="auto"/>
              <w:ind w:left="84" w:right="8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7"/>
                <w:sz w:val="21"/>
                <w:szCs w:val="21"/>
              </w:rPr>
              <w:t>债权人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7"/>
                <w:sz w:val="21"/>
                <w:szCs w:val="21"/>
              </w:rPr>
              <w:t>×× 信托公司是否具备向社会不特定对象发放贷款的资质不</w:t>
            </w:r>
            <w:r>
              <w:rPr>
                <w:rFonts w:ascii="方正楷体_GBK" w:hAnsi="方正楷体_GBK" w:eastAsia="方正楷体_GBK" w:cs="方正楷体_GBK"/>
                <w:color w:val="231F20"/>
                <w:spacing w:val="6"/>
                <w:sz w:val="21"/>
                <w:szCs w:val="21"/>
              </w:rPr>
              <w:t>能确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认，被告与债权人之间的借款合同无效。</w:t>
            </w:r>
          </w:p>
        </w:tc>
      </w:tr>
      <w:tr w14:paraId="502D17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920F8A">
            <w:pPr>
              <w:pStyle w:val="9"/>
              <w:spacing w:before="81" w:line="217" w:lineRule="auto"/>
              <w:jc w:val="right"/>
            </w:pPr>
            <w:r>
              <w:rPr>
                <w:color w:val="231F20"/>
                <w:spacing w:val="-19"/>
              </w:rPr>
              <w:t>11.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218CFC6">
            <w:pPr>
              <w:rPr>
                <w:rFonts w:ascii="Arial"/>
                <w:sz w:val="21"/>
              </w:rPr>
            </w:pPr>
          </w:p>
        </w:tc>
      </w:tr>
      <w:tr w14:paraId="4D2011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1318013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3A6125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379ED7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8EFEAF">
            <w:pPr>
              <w:spacing w:line="258" w:lineRule="auto"/>
              <w:rPr>
                <w:rFonts w:ascii="Arial"/>
                <w:sz w:val="21"/>
              </w:rPr>
            </w:pPr>
          </w:p>
          <w:p w14:paraId="15D09BC0">
            <w:pPr>
              <w:spacing w:line="259" w:lineRule="auto"/>
              <w:rPr>
                <w:rFonts w:ascii="Arial"/>
                <w:sz w:val="21"/>
              </w:rPr>
            </w:pPr>
          </w:p>
          <w:p w14:paraId="58AF7BBE">
            <w:pPr>
              <w:pStyle w:val="9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2434C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E85FDA">
            <w:pPr>
              <w:spacing w:line="263" w:lineRule="auto"/>
              <w:rPr>
                <w:rFonts w:ascii="Arial"/>
                <w:sz w:val="21"/>
              </w:rPr>
            </w:pPr>
          </w:p>
          <w:p w14:paraId="18E4E6D2">
            <w:pPr>
              <w:spacing w:line="263" w:lineRule="auto"/>
              <w:rPr>
                <w:rFonts w:ascii="Arial"/>
                <w:sz w:val="21"/>
              </w:rPr>
            </w:pPr>
          </w:p>
          <w:p w14:paraId="571EFBB3">
            <w:pPr>
              <w:spacing w:line="264" w:lineRule="auto"/>
              <w:rPr>
                <w:rFonts w:ascii="Arial"/>
                <w:sz w:val="21"/>
              </w:rPr>
            </w:pPr>
          </w:p>
          <w:p w14:paraId="07BE609A">
            <w:pPr>
              <w:spacing w:line="264" w:lineRule="auto"/>
              <w:rPr>
                <w:rFonts w:ascii="Arial"/>
                <w:sz w:val="21"/>
              </w:rPr>
            </w:pPr>
          </w:p>
          <w:p w14:paraId="702D5516">
            <w:pPr>
              <w:spacing w:line="264" w:lineRule="auto"/>
              <w:rPr>
                <w:rFonts w:ascii="Arial"/>
                <w:sz w:val="21"/>
              </w:rPr>
            </w:pPr>
          </w:p>
          <w:p w14:paraId="6315462B">
            <w:pPr>
              <w:spacing w:line="264" w:lineRule="auto"/>
              <w:rPr>
                <w:rFonts w:ascii="Arial"/>
                <w:sz w:val="21"/>
              </w:rPr>
            </w:pPr>
          </w:p>
          <w:p w14:paraId="669F544A">
            <w:pPr>
              <w:spacing w:line="264" w:lineRule="auto"/>
              <w:rPr>
                <w:rFonts w:ascii="Arial"/>
                <w:sz w:val="21"/>
              </w:rPr>
            </w:pPr>
          </w:p>
          <w:p w14:paraId="2972EB2A">
            <w:pPr>
              <w:spacing w:line="264" w:lineRule="auto"/>
              <w:rPr>
                <w:rFonts w:ascii="Arial"/>
                <w:sz w:val="21"/>
              </w:rPr>
            </w:pPr>
          </w:p>
          <w:p w14:paraId="4E0A8FD0">
            <w:pPr>
              <w:spacing w:line="264" w:lineRule="auto"/>
              <w:rPr>
                <w:rFonts w:ascii="Arial"/>
                <w:sz w:val="21"/>
              </w:rPr>
            </w:pPr>
          </w:p>
          <w:p w14:paraId="6EEF9250">
            <w:pPr>
              <w:pStyle w:val="9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CDECAF2">
            <w:pPr>
              <w:pStyle w:val="9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69DC0D57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5796972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101E879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534A1A5">
            <w:pPr>
              <w:pStyle w:val="9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8A26D08">
            <w:pPr>
              <w:pStyle w:val="9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09C06D6">
            <w:pPr>
              <w:pStyle w:val="9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1205CE4A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9DB47D9">
            <w:pPr>
              <w:pStyle w:val="9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59F57DA9">
            <w:pPr>
              <w:pStyle w:val="9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78D93B7C">
      <w:pPr>
        <w:pStyle w:val="3"/>
      </w:pPr>
    </w:p>
    <w:p w14:paraId="6713E921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7F426CE">
      <w:pPr>
        <w:spacing w:before="41"/>
      </w:pPr>
    </w:p>
    <w:p w14:paraId="5E5D8459">
      <w:pPr>
        <w:spacing w:before="41"/>
      </w:pPr>
    </w:p>
    <w:p w14:paraId="6FBCB688">
      <w:pPr>
        <w:spacing w:before="41"/>
      </w:pPr>
    </w:p>
    <w:p w14:paraId="1372B8F3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6244F9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7D33E5E1">
            <w:pPr>
              <w:spacing w:line="346" w:lineRule="auto"/>
              <w:rPr>
                <w:rFonts w:ascii="Arial"/>
                <w:sz w:val="21"/>
              </w:rPr>
            </w:pPr>
          </w:p>
          <w:p w14:paraId="44F21ADA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4E89A168">
            <w:pPr>
              <w:pStyle w:val="9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7D1BA5B5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36389E63">
      <w:pPr>
        <w:spacing w:before="174" w:line="223" w:lineRule="auto"/>
        <w:ind w:left="5429" w:hanging="22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8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7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6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杜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6D681BE1">
      <w:pPr>
        <w:spacing w:line="223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0" w:type="default"/>
      <w:footerReference r:id="rId11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A5ED9">
    <w:pPr>
      <w:spacing w:line="176" w:lineRule="auto"/>
      <w:ind w:left="8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CB3F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14D4C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7B00E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06D3AEA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A992F22E46EF41019D7AFF7044145306_13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