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民事起诉状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（侵害发明专利权纠纷）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3357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如不具有以下情况，可不填：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出资方：        份额构成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        上市所在交易所：</w:t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委托诉讼代理人（律师）</w:t>
            </w:r>
          </w:p>
        </w:tc>
        <w:tc>
          <w:tcPr>
            <w:tcW w:w="6824" w:type="dxa"/>
            <w:gridSpan w:val="2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委托诉讼代理人（其他）</w:t>
            </w:r>
          </w:p>
        </w:tc>
        <w:tc>
          <w:tcPr>
            <w:tcW w:w="6824" w:type="dxa"/>
            <w:gridSpan w:val="2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职务（员工担任代理人需写明部门）：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与原告关系（近亲属担任委托诉讼代理人）：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推荐单位（当事人所在社区、单位以及有关社会团体推荐的公民担任委托诉讼代理人）：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如不具有以下情况，可不填：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出资方：        份额构成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        上市所在交易所：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如不具有以下情况，可不填：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出资方：        份额构成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        上市所在交易所：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4"/>
              <w:bidi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1.停止侵害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（具体写明要求停止的侵权行为，如制造、销售、许诺销售等）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2.赔偿经济损失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经济损失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是否包含惩罚性赔偿：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计算方法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基数  元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楷体" w:cs="宋体"/>
                  <w:sz w:val="20"/>
                  <w:szCs w:val="20"/>
                </w:rPr>
                <m:t>×</m:t>
              </m:r>
            </m:oMath>
            <w:r>
              <w:rPr>
                <w:rFonts w:hint="eastAsia" w:ascii="楷体" w:hAnsi="楷体" w:eastAsia="楷体" w:cs="宋体"/>
                <w:sz w:val="20"/>
                <w:szCs w:val="20"/>
              </w:rPr>
              <w:t>（1+惩罚性赔偿倍数）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不包含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赔偿维权合理开支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律师费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公证费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差旅费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其他费用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连带责任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非金钱给付义务迟延履行金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有无仲裁、法院管辖约定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合同条款及内容：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是否已经诉前保全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</w:rPr>
              <w:t>涉外及涉港澳台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是否涉外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涉及国家：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是否涉港澳台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1.原告主体情况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专利权人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：原始取得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继受取得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3400" w:leftChars="600" w:hanging="2200" w:hangingChars="1100"/>
              <w:jc w:val="left"/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是否存在共有权人：是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共有权人是否明确表示同意起诉：是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否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ind w:firstLine="3000" w:firstLineChars="1500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否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利害关系人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被许可人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专利权人：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获得许可时间：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许可期限：</w:t>
            </w:r>
          </w:p>
          <w:p>
            <w:pPr>
              <w:numPr>
                <w:ilvl w:val="0"/>
                <w:numId w:val="1"/>
              </w:numPr>
              <w:spacing w:line="276" w:lineRule="auto"/>
              <w:ind w:left="400" w:leftChars="200" w:firstLine="0" w:firstLineChars="0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专利独占实施被许可人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spacing w:line="276" w:lineRule="auto"/>
              <w:ind w:left="400" w:leftChars="200" w:firstLine="0" w:firstLineChars="0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专利排他实施被许可人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：和专利权人共同起诉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单独起诉（专利权人明确表示不起诉）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spacing w:line="276" w:lineRule="auto"/>
              <w:ind w:left="400" w:leftChars="200" w:firstLine="0" w:firstLineChars="0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专利普通实施被许可人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：和专利权人共同起诉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单独起诉（专利权人书面授权单独起诉）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其他利害关系人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cs="宋体" w:asciiTheme="minorEastAsia" w:hAnsiTheme="minorEastAsia"/>
                <w:sz w:val="20"/>
                <w:szCs w:val="20"/>
              </w:rPr>
              <w:t xml:space="preserve">   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具体情形：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2.权利基础状况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专利号：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专利名称：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专利类型：发明专利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专利领域：机械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电学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通信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化学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生物医药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光电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材料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950" w:leftChars="475" w:firstLine="0" w:firstLineChars="0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其他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>________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专利申请日：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专利优先权日：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授权公告日：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据以主张权利的权利要求序号：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据以主张权利的权利要求效力状态：有效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无效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终止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3.技术特征对比分析（详见附件2技术特征对比分析表）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以涉案专利权利要求 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主张权利，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有关技术方案为：</w:t>
            </w:r>
            <w:r>
              <w:rPr>
                <w:rStyle w:val="22"/>
                <w:rFonts w:hint="eastAsia"/>
              </w:rPr>
              <w:t>（概述）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被诉侵权产品为：</w:t>
            </w:r>
            <w:r>
              <w:rPr>
                <w:rStyle w:val="22"/>
                <w:rFonts w:hint="eastAsia"/>
              </w:rPr>
              <w:t>（概述）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被诉侵权产品落入上述权利要求的保护范围。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具体情形：</w:t>
            </w:r>
            <w:r>
              <w:rPr>
                <w:rStyle w:val="22"/>
                <w:rFonts w:hint="eastAsia"/>
              </w:rPr>
              <w:t>（概述涉案专利要求以及被诉侵权产品所涉技术方案的对比分析结果）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4.被诉侵权行为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侵权产品：</w:t>
            </w:r>
            <w:r>
              <w:rPr>
                <w:rStyle w:val="22"/>
                <w:rFonts w:hint="eastAsia"/>
              </w:rPr>
              <w:t>（写明产品型号等）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侵权行为方式：</w:t>
            </w:r>
            <w:r>
              <w:rPr>
                <w:rStyle w:val="22"/>
                <w:rFonts w:hint="eastAsia"/>
              </w:rPr>
              <w:t>（具体写明系为生产经营目的的制造、使用、许诺销售、销售、进口专利产品，或者使用专利方法以及使用、许诺销售、销售、进口依照该专利方法直接获得的产品等行为方式中的哪些行为）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侵权行为期间：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被诉侵权行为具体情形：</w:t>
            </w:r>
            <w:r>
              <w:rPr>
                <w:rStyle w:val="22"/>
                <w:rFonts w:hint="eastAsia"/>
              </w:rPr>
              <w:t>（写明发现方式、渠道）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5.共同侵权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主要事实与理由：</w:t>
            </w:r>
            <w:r>
              <w:rPr>
                <w:rStyle w:val="22"/>
                <w:rFonts w:hint="eastAsia"/>
              </w:rPr>
              <w:t>（一并写明共同侵权主体之间是否存在关联关系）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6.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其他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有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</w:rPr>
              <w:t>责任承担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1.停止侵害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被告应当立即停止侵害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具体主张：</w:t>
            </w:r>
            <w:r>
              <w:rPr>
                <w:rStyle w:val="22"/>
                <w:rFonts w:hint="eastAsia"/>
              </w:rPr>
              <w:t>（一并说明本案诉讼期间被诉侵权行为是否仍在进行）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237" w:type="dxa"/>
            <w:vMerge w:val="restar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2.赔偿责任</w:t>
            </w:r>
          </w:p>
        </w:tc>
        <w:tc>
          <w:tcPr>
            <w:tcW w:w="335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补偿性赔偿：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。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选择：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原告受损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被告获利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许可使用费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（基数：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元，倍数：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法定赔偿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</w:tc>
        <w:tc>
          <w:tcPr>
            <w:tcW w:w="3467" w:type="dxa"/>
          </w:tcPr>
          <w:p>
            <w:pPr>
              <w:spacing w:line="276" w:lineRule="auto"/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计算依据或者参考因素：</w:t>
            </w:r>
          </w:p>
          <w:p>
            <w:pPr>
              <w:pStyle w:val="5"/>
              <w:bidi w:val="0"/>
              <w:rPr>
                <w:rFonts w:hint="eastAsia" w:eastAsia="宋体" w:cs="宋体" w:asciiTheme="minorEastAsia" w:hAnsiTheme="minorEastAsia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以被告获利计算经济损失示例：侵权期间：</w:t>
            </w:r>
            <w:r>
              <w:rPr>
                <w:rFonts w:hint="eastAsia"/>
              </w:rPr>
              <w:t xml:space="preserve">        </w:t>
            </w:r>
            <w:r>
              <w:t>，销售</w:t>
            </w:r>
            <w:r>
              <w:rPr>
                <w:rFonts w:hint="eastAsia"/>
              </w:rPr>
              <w:t>数</w:t>
            </w:r>
            <w:r>
              <w:t>量：</w:t>
            </w:r>
            <w:r>
              <w:rPr>
                <w:rFonts w:hint="eastAsia"/>
              </w:rPr>
              <w:t xml:space="preserve">        </w:t>
            </w:r>
            <w:r>
              <w:t>，销售被诉侵权产品利润计算方法：（写明利润类型，如营业利润、销售利润等）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5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惩罚性赔偿：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（基数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：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元，倍数：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b/>
                <w:bCs/>
                <w:sz w:val="20"/>
                <w:szCs w:val="20"/>
              </w:rPr>
              <w:t>（如不主张，可不填）</w:t>
            </w:r>
          </w:p>
        </w:tc>
        <w:tc>
          <w:tcPr>
            <w:tcW w:w="3467" w:type="dxa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侵权故意有关事实与理由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情节严重有关事实与理由：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5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维权合理开支：  元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。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包括：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律师费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公证费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差旅费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其他费用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 xml:space="preserve">  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b/>
                <w:bCs/>
                <w:sz w:val="20"/>
                <w:szCs w:val="20"/>
              </w:rPr>
              <w:t>（如不主张，可不填）</w:t>
            </w:r>
          </w:p>
        </w:tc>
        <w:tc>
          <w:tcPr>
            <w:tcW w:w="346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3.连带责任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Style w:val="22"/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  内容：</w:t>
            </w:r>
            <w:r>
              <w:rPr>
                <w:rStyle w:val="22"/>
                <w:rFonts w:hint="eastAsia"/>
                <w:lang w:eastAsia="zh-CN"/>
              </w:rPr>
              <w:t>（被告一××、被告二××构成共同侵权，应当连带赔偿原告经济损失  元、维权合理开支  元）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具体理由：</w:t>
            </w:r>
          </w:p>
          <w:p>
            <w:pPr>
              <w:spacing w:line="276" w:lineRule="auto"/>
              <w:jc w:val="left"/>
              <w:rPr>
                <w:rFonts w:hint="eastAsia" w:cs="Microsoft JhengHei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4.其他责任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5.法律依据</w:t>
            </w:r>
          </w:p>
        </w:tc>
        <w:tc>
          <w:tcPr>
            <w:tcW w:w="682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关联案件/程序情况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（详见附件3关联案件信息表）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次专利确权行政程序，具体情况：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件专利侵权民事案件，具体情况：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件专利权属民事案件，具体情况：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件其他关联案件，具体情况：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pStyle w:val="5"/>
              <w:bidi w:val="0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1.原告证据</w:t>
            </w:r>
          </w:p>
          <w:p>
            <w:pPr>
              <w:pStyle w:val="5"/>
              <w:bidi w:val="0"/>
            </w:pPr>
            <w:r>
              <w:rPr>
                <w:rFonts w:hint="eastAsia"/>
              </w:rPr>
              <w:t>2.技术特征对比分析表</w:t>
            </w:r>
          </w:p>
          <w:p>
            <w:pPr>
              <w:pStyle w:val="5"/>
              <w:bidi w:val="0"/>
            </w:pPr>
            <w:r>
              <w:rPr>
                <w:rFonts w:hint="eastAsia"/>
              </w:rPr>
              <w:t>3.关联案件信息表</w:t>
            </w:r>
          </w:p>
          <w:p>
            <w:pPr>
              <w:pStyle w:val="5"/>
              <w:bidi w:val="0"/>
              <w:rPr>
                <w:rFonts w:hint="eastAsia" w:ascii="宋体" w:hAnsi="宋体" w:eastAsia="宋体" w:cs="宋体"/>
                <w:szCs w:val="20"/>
                <w:lang w:eastAsia="zh-CN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4" w:type="dxa"/>
            <w:gridSpan w:val="2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4" w:type="dxa"/>
            <w:gridSpan w:val="2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4" w:type="dxa"/>
            <w:gridSpan w:val="2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5" w:type="default"/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原告证据目录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5619"/>
        <w:gridCol w:w="1073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1.权利基础证据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涉案专利授权公告文本权利要求书、说明书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专利登记簿副本/显示专利公告信息查询二维码的专利证书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涉案专利有关确权行政决定、裁判文书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被诉侵权产品实物（附录像，如有）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被诉侵权产品图片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被告侵权行为方式证据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被告侵权期间证据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被告财务报表（如无，可不交）</w:t>
            </w: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350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027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78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2" w:type="pct"/>
          </w:tcPr>
          <w:p>
            <w:p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附件2</w:t>
      </w:r>
    </w:p>
    <w:p>
      <w:pPr>
        <w:suppressAutoHyphens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技术特征对比分析表</w:t>
      </w:r>
    </w:p>
    <w:p>
      <w:pPr>
        <w:suppressAutoHyphens/>
        <w:spacing w:line="276" w:lineRule="auto"/>
        <w:jc w:val="both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 w:bidi="ar"/>
        </w:rPr>
        <w:t>1.关于权利要求xx的技术特征对比如下表：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89"/>
        <w:gridCol w:w="843"/>
        <w:gridCol w:w="1597"/>
        <w:gridCol w:w="1649"/>
        <w:gridCol w:w="1636"/>
        <w:gridCol w:w="1632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涉案专利技术特征（可附图说明）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被诉侵权产品相应技术特征（可附图说明）</w:t>
            </w:r>
          </w:p>
        </w:tc>
        <w:tc>
          <w:tcPr>
            <w:tcW w:w="86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手段对比及说明</w:t>
            </w:r>
          </w:p>
        </w:tc>
        <w:tc>
          <w:tcPr>
            <w:tcW w:w="88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功能对比及说明</w:t>
            </w:r>
          </w:p>
        </w:tc>
        <w:tc>
          <w:tcPr>
            <w:tcW w:w="881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效果对比及说明</w:t>
            </w:r>
          </w:p>
        </w:tc>
        <w:tc>
          <w:tcPr>
            <w:tcW w:w="87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是否容易联想到及说明</w:t>
            </w:r>
          </w:p>
        </w:tc>
        <w:tc>
          <w:tcPr>
            <w:tcW w:w="377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对比结果（示例）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技术特征A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技术特征a</w:t>
            </w:r>
          </w:p>
        </w:tc>
        <w:tc>
          <w:tcPr>
            <w:tcW w:w="86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均采用________，仅________不同，但________，故二者手段相同/基本相同</w:t>
            </w:r>
          </w:p>
        </w:tc>
        <w:tc>
          <w:tcPr>
            <w:tcW w:w="88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均能实现________的功能，仅________不同，但________，故二者功能相同/基本相同</w:t>
            </w:r>
          </w:p>
        </w:tc>
        <w:tc>
          <w:tcPr>
            <w:tcW w:w="881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均能达到________效果，仅________不同，但________，故二者效果相同/基本相同</w:t>
            </w:r>
          </w:p>
        </w:tc>
        <w:tc>
          <w:tcPr>
            <w:tcW w:w="87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对本领域技术人员而言，________，故系其无需经过创造性劳动就能联想到的特征</w:t>
            </w:r>
          </w:p>
        </w:tc>
        <w:tc>
          <w:tcPr>
            <w:tcW w:w="377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相同/等同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技术特征B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技术特征b</w:t>
            </w:r>
          </w:p>
        </w:tc>
        <w:tc>
          <w:tcPr>
            <w:tcW w:w="86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8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81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77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uppressAutoHyphens/>
        <w:spacing w:line="276" w:lineRule="auto"/>
        <w:jc w:val="both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 w:bidi="ar"/>
        </w:rPr>
      </w:pPr>
    </w:p>
    <w:p>
      <w:pPr>
        <w:numPr>
          <w:ilvl w:val="0"/>
          <w:numId w:val="0"/>
        </w:numPr>
        <w:suppressAutoHyphens/>
        <w:spacing w:line="276" w:lineRule="auto"/>
        <w:jc w:val="both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 w:bidi="ar"/>
        </w:rPr>
        <w:t>2.权利要求xx系权利要求xx的从属权利要求，其附加技术特征对比如下表：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90"/>
        <w:gridCol w:w="844"/>
        <w:gridCol w:w="1598"/>
        <w:gridCol w:w="1654"/>
        <w:gridCol w:w="1641"/>
        <w:gridCol w:w="1634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3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涉案专利技术特征（可附图说明）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被诉侵权产品相应技术特征（可附图说明）</w:t>
            </w:r>
          </w:p>
        </w:tc>
        <w:tc>
          <w:tcPr>
            <w:tcW w:w="86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手段对比及说明</w:t>
            </w:r>
          </w:p>
        </w:tc>
        <w:tc>
          <w:tcPr>
            <w:tcW w:w="89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功能对比及说明</w:t>
            </w:r>
          </w:p>
        </w:tc>
        <w:tc>
          <w:tcPr>
            <w:tcW w:w="88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效果对比及说明</w:t>
            </w:r>
          </w:p>
        </w:tc>
        <w:tc>
          <w:tcPr>
            <w:tcW w:w="87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是否容易联想到及说明</w:t>
            </w:r>
          </w:p>
        </w:tc>
        <w:tc>
          <w:tcPr>
            <w:tcW w:w="37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对比结果（示例）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技术特征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H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技术特征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h</w:t>
            </w:r>
          </w:p>
        </w:tc>
        <w:tc>
          <w:tcPr>
            <w:tcW w:w="86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均采用________，仅________不同，但________，故二者手段相同/基本相同</w:t>
            </w:r>
          </w:p>
        </w:tc>
        <w:tc>
          <w:tcPr>
            <w:tcW w:w="89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均能实现________的功能，仅________不同，但________，故二者功能相同/基本相同</w:t>
            </w:r>
          </w:p>
        </w:tc>
        <w:tc>
          <w:tcPr>
            <w:tcW w:w="88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均能达到________效果，仅________不同，但________，故二者效果相同/基本相同</w:t>
            </w:r>
          </w:p>
        </w:tc>
        <w:tc>
          <w:tcPr>
            <w:tcW w:w="87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对本领域技术人员而言，________，故系其无需经过创造性劳动就能联想到的特征</w:t>
            </w:r>
          </w:p>
        </w:tc>
        <w:tc>
          <w:tcPr>
            <w:tcW w:w="37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相同/等同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技术特征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技术特征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86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9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8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spacing w:line="276" w:lineRule="auto"/>
        <w:jc w:val="both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uppressAutoHyphens/>
        <w:spacing w:line="276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sectPr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uppressAutoHyphens/>
        <w:spacing w:line="276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附件3</w:t>
      </w:r>
    </w:p>
    <w:p>
      <w:pPr>
        <w:widowControl w:val="0"/>
        <w:numPr>
          <w:ilvl w:val="0"/>
          <w:numId w:val="0"/>
        </w:numPr>
        <w:suppressAutoHyphens/>
        <w:spacing w:line="276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关联行政确权程序及有关行政诉讼案件信息表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632"/>
        <w:gridCol w:w="1227"/>
        <w:gridCol w:w="1637"/>
        <w:gridCol w:w="1020"/>
        <w:gridCol w:w="792"/>
        <w:gridCol w:w="616"/>
        <w:gridCol w:w="1313"/>
        <w:gridCol w:w="622"/>
        <w:gridCol w:w="1233"/>
        <w:gridCol w:w="519"/>
        <w:gridCol w:w="616"/>
        <w:gridCol w:w="1893"/>
        <w:gridCol w:w="1037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专利名称：xxx；专利号：xxx；专利权人/被许可人：xxx；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统计期间：截至  年  月  日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统计时间：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无效宣告请求人</w:t>
            </w:r>
          </w:p>
        </w:tc>
        <w:tc>
          <w:tcPr>
            <w:tcW w:w="43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无效宣告的请求和理由</w:t>
            </w:r>
          </w:p>
        </w:tc>
        <w:tc>
          <w:tcPr>
            <w:tcW w:w="58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无效宣告请求审查决定及作出时间</w:t>
            </w:r>
          </w:p>
        </w:tc>
        <w:tc>
          <w:tcPr>
            <w:tcW w:w="366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无效宣告请求审查决定的结论</w:t>
            </w:r>
          </w:p>
        </w:tc>
        <w:tc>
          <w:tcPr>
            <w:tcW w:w="286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是否提起行政诉讼</w:t>
            </w:r>
          </w:p>
        </w:tc>
        <w:tc>
          <w:tcPr>
            <w:tcW w:w="18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一审案号</w:t>
            </w:r>
          </w:p>
        </w:tc>
        <w:tc>
          <w:tcPr>
            <w:tcW w:w="46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一审当事人及委托诉讼代理人</w:t>
            </w:r>
          </w:p>
        </w:tc>
        <w:tc>
          <w:tcPr>
            <w:tcW w:w="226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诉讼请求</w:t>
            </w:r>
          </w:p>
        </w:tc>
        <w:tc>
          <w:tcPr>
            <w:tcW w:w="441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一审裁判结果</w:t>
            </w:r>
          </w:p>
        </w:tc>
        <w:tc>
          <w:tcPr>
            <w:tcW w:w="19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一审裁判日期</w:t>
            </w:r>
          </w:p>
        </w:tc>
        <w:tc>
          <w:tcPr>
            <w:tcW w:w="152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二审案号</w:t>
            </w:r>
          </w:p>
        </w:tc>
        <w:tc>
          <w:tcPr>
            <w:tcW w:w="67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二审当事人及委托诉讼代理人</w:t>
            </w:r>
          </w:p>
        </w:tc>
        <w:tc>
          <w:tcPr>
            <w:tcW w:w="372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二审裁判结果</w:t>
            </w:r>
          </w:p>
        </w:tc>
        <w:tc>
          <w:tcPr>
            <w:tcW w:w="2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二审裁判日期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43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1.宣告部分/全部权利要求无效2.理由：不具备新颖性/创造性</w:t>
            </w:r>
          </w:p>
        </w:tc>
        <w:tc>
          <w:tcPr>
            <w:tcW w:w="58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第xx号无效宣告请求审查决定（  年  月  日）（如未作出无效决定，请写明行政案件编号）</w:t>
            </w:r>
          </w:p>
        </w:tc>
        <w:tc>
          <w:tcPr>
            <w:tcW w:w="366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部分/全部权利要求无效；或者维持专利权有效</w:t>
            </w:r>
          </w:p>
        </w:tc>
        <w:tc>
          <w:tcPr>
            <w:tcW w:w="286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18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案号：</w:t>
            </w:r>
          </w:p>
        </w:tc>
        <w:tc>
          <w:tcPr>
            <w:tcW w:w="46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原告：xxx，委托诉讼代理人xxx，xx律所律师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被告：xxx委托诉讼代理人xxx，xx律所律师</w:t>
            </w:r>
          </w:p>
        </w:tc>
        <w:tc>
          <w:tcPr>
            <w:tcW w:w="226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写明一审全部诉讼请求</w:t>
            </w:r>
          </w:p>
        </w:tc>
        <w:tc>
          <w:tcPr>
            <w:tcW w:w="441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写明一审判项实质结果（如维持被诉决定，专利权有效/无效）</w:t>
            </w:r>
          </w:p>
        </w:tc>
        <w:tc>
          <w:tcPr>
            <w:tcW w:w="190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 xml:space="preserve">  年  月  日</w:t>
            </w:r>
          </w:p>
        </w:tc>
        <w:tc>
          <w:tcPr>
            <w:tcW w:w="152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案号：</w:t>
            </w:r>
          </w:p>
        </w:tc>
        <w:tc>
          <w:tcPr>
            <w:tcW w:w="67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上诉人（原审原告/被告）：xxx委托诉讼代理人：xxx，xx律所律师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被上诉人（原审原告/被告）：xxx委托诉讼代理人：xxx，xx律所律师</w:t>
            </w:r>
          </w:p>
        </w:tc>
        <w:tc>
          <w:tcPr>
            <w:tcW w:w="372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写明二审判项实质结果（如维持一审判决，专利权有效/无效）</w:t>
            </w:r>
          </w:p>
        </w:tc>
        <w:tc>
          <w:tcPr>
            <w:tcW w:w="22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 xml:space="preserve">  年  月  日</w:t>
            </w:r>
          </w:p>
        </w:tc>
      </w:tr>
    </w:tbl>
    <w:p>
      <w:pPr>
        <w:widowControl w:val="0"/>
        <w:numPr>
          <w:ilvl w:val="0"/>
          <w:numId w:val="0"/>
        </w:numPr>
        <w:suppressAutoHyphens/>
        <w:spacing w:line="276" w:lineRule="auto"/>
        <w:jc w:val="both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ar"/>
        </w:rPr>
        <w:t>注：1.如关联行政确权程序或有关行政诉讼案件暂未结案，请注明行政程序/诉讼案件的当前进展，如行政程序已受理/已安排口审（口审时间）/已开口审（口审时间）/中止审理等，诉讼案件已受理/处于管辖权异议程序/已安排开庭（开庭时间）/已开庭（开庭时间）等；</w:t>
      </w:r>
    </w:p>
    <w:p>
      <w:pPr>
        <w:widowControl w:val="0"/>
        <w:numPr>
          <w:ilvl w:val="0"/>
          <w:numId w:val="0"/>
        </w:numPr>
        <w:suppressAutoHyphens/>
        <w:spacing w:line="276" w:lineRule="auto"/>
        <w:ind w:firstLine="400" w:firstLineChars="200"/>
        <w:jc w:val="both"/>
        <w:rPr>
          <w:rFonts w:hint="eastAsia" w:cs="宋体"/>
          <w:sz w:val="20"/>
          <w:szCs w:val="20"/>
          <w:lang w:val="en-US" w:eastAsia="zh-CN" w:bidi="ar"/>
        </w:rPr>
      </w:pPr>
      <w:r>
        <w:rPr>
          <w:rFonts w:hint="eastAsia" w:cs="宋体"/>
          <w:sz w:val="20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sz w:val="20"/>
          <w:szCs w:val="20"/>
          <w:lang w:val="en-US" w:eastAsia="zh-CN" w:bidi="ar"/>
        </w:rPr>
        <w:t>如诉讼案件存在再审情形，需一并写明相关信息</w:t>
      </w:r>
      <w:r>
        <w:rPr>
          <w:rFonts w:hint="eastAsia" w:cs="宋体"/>
          <w:sz w:val="20"/>
          <w:szCs w:val="20"/>
          <w:lang w:val="en-US" w:eastAsia="zh-CN" w:bidi="ar"/>
        </w:rPr>
        <w:t>。</w:t>
      </w:r>
    </w:p>
    <w:p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hint="eastAsia" w:cs="宋体"/>
          <w:sz w:val="20"/>
          <w:szCs w:val="20"/>
          <w:lang w:val="en-US" w:eastAsia="zh-CN" w:bidi="ar"/>
        </w:rPr>
        <w:sectPr>
          <w:pgSz w:w="16838" w:h="11906" w:orient="landscape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91"/>
        <w:gridCol w:w="867"/>
        <w:gridCol w:w="1817"/>
        <w:gridCol w:w="1615"/>
        <w:gridCol w:w="2113"/>
        <w:gridCol w:w="665"/>
        <w:gridCol w:w="864"/>
        <w:gridCol w:w="867"/>
        <w:gridCol w:w="2090"/>
        <w:gridCol w:w="669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 w:bidi="ar"/>
              </w:rPr>
              <w:t>关联民事案件信息表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专利名称：xxx；专利号：xxx；专利权人/被许可人：xxx；被诉侵权产品名称：xxx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统计期间：截至  年  月  日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统计时间：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案由</w:t>
            </w:r>
          </w:p>
        </w:tc>
        <w:tc>
          <w:tcPr>
            <w:tcW w:w="30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一审法院及案号</w:t>
            </w:r>
          </w:p>
        </w:tc>
        <w:tc>
          <w:tcPr>
            <w:tcW w:w="63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诉讼请求</w:t>
            </w:r>
          </w:p>
        </w:tc>
        <w:tc>
          <w:tcPr>
            <w:tcW w:w="56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一审当事人及委托诉讼代理人</w:t>
            </w:r>
          </w:p>
        </w:tc>
        <w:tc>
          <w:tcPr>
            <w:tcW w:w="74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简要案情</w:t>
            </w:r>
          </w:p>
        </w:tc>
        <w:tc>
          <w:tcPr>
            <w:tcW w:w="23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一审裁判日期</w:t>
            </w:r>
          </w:p>
        </w:tc>
        <w:tc>
          <w:tcPr>
            <w:tcW w:w="30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一审裁判结果</w:t>
            </w:r>
          </w:p>
        </w:tc>
        <w:tc>
          <w:tcPr>
            <w:tcW w:w="30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二审法院及案号</w:t>
            </w:r>
          </w:p>
        </w:tc>
        <w:tc>
          <w:tcPr>
            <w:tcW w:w="73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二审当事人及委托诉讼代理人</w:t>
            </w:r>
          </w:p>
        </w:tc>
        <w:tc>
          <w:tcPr>
            <w:tcW w:w="23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二审裁判日期</w:t>
            </w:r>
          </w:p>
        </w:tc>
        <w:tc>
          <w:tcPr>
            <w:tcW w:w="307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二审裁判结果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侵害xx专利权纠纷/专利权权属纠纷/其他</w:t>
            </w:r>
          </w:p>
        </w:tc>
        <w:tc>
          <w:tcPr>
            <w:tcW w:w="30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法院：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案号：</w:t>
            </w:r>
          </w:p>
        </w:tc>
        <w:tc>
          <w:tcPr>
            <w:tcW w:w="639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写明一审全部诉讼请求（如：停止侵权；赔偿  元）</w:t>
            </w:r>
          </w:p>
        </w:tc>
        <w:tc>
          <w:tcPr>
            <w:tcW w:w="568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原告：xxx委托诉讼代理人：xxx，xx律所律师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被告：xxx委托诉讼代理人：xxx，xx律所律师</w:t>
            </w:r>
          </w:p>
        </w:tc>
        <w:tc>
          <w:tcPr>
            <w:tcW w:w="743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1.涉及相同专利/涉及相同当事人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2.简要说明被诉侵权人从事的侵权行为、侵权持续时间、侵权地域范围等</w:t>
            </w:r>
          </w:p>
        </w:tc>
        <w:tc>
          <w:tcPr>
            <w:tcW w:w="23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 xml:space="preserve">  年  月  日</w:t>
            </w:r>
          </w:p>
        </w:tc>
        <w:tc>
          <w:tcPr>
            <w:tcW w:w="304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写明一审判项基本内容</w:t>
            </w:r>
          </w:p>
        </w:tc>
        <w:tc>
          <w:tcPr>
            <w:tcW w:w="30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法院：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案号：</w:t>
            </w:r>
          </w:p>
        </w:tc>
        <w:tc>
          <w:tcPr>
            <w:tcW w:w="73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上诉人（原审原告/被告）xxx委托诉讼代理人：xxx，xx律所律师</w:t>
            </w:r>
          </w:p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被上诉人（原审原告/被告）xxx委托诉讼代理人：xxx，xx律所律师</w:t>
            </w:r>
          </w:p>
        </w:tc>
        <w:tc>
          <w:tcPr>
            <w:tcW w:w="235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 xml:space="preserve">  年  月  日</w:t>
            </w:r>
          </w:p>
        </w:tc>
        <w:tc>
          <w:tcPr>
            <w:tcW w:w="307" w:type="pct"/>
          </w:tcPr>
          <w:p>
            <w:pPr>
              <w:widowControl w:val="0"/>
              <w:numPr>
                <w:ilvl w:val="0"/>
                <w:numId w:val="0"/>
              </w:numPr>
              <w:suppressAutoHyphens/>
              <w:spacing w:line="276" w:lineRule="auto"/>
              <w:jc w:val="left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写明二审判项基本内容</w:t>
            </w:r>
          </w:p>
        </w:tc>
      </w:tr>
    </w:tbl>
    <w:p>
      <w:pPr>
        <w:widowControl w:val="0"/>
        <w:numPr>
          <w:ilvl w:val="0"/>
          <w:numId w:val="0"/>
        </w:numPr>
        <w:suppressAutoHyphens/>
        <w:spacing w:line="276" w:lineRule="auto"/>
        <w:jc w:val="both"/>
        <w:rPr>
          <w:rFonts w:hint="eastAsia" w:cs="宋体"/>
          <w:sz w:val="20"/>
          <w:szCs w:val="20"/>
          <w:lang w:val="en-US" w:eastAsia="zh-CN" w:bidi="ar"/>
        </w:rPr>
      </w:pPr>
      <w:r>
        <w:rPr>
          <w:rFonts w:hint="eastAsia" w:cs="宋体"/>
          <w:sz w:val="20"/>
          <w:szCs w:val="20"/>
          <w:lang w:val="en-US" w:eastAsia="zh-CN" w:bidi="ar"/>
        </w:rPr>
        <w:t>注：1.如有关诉讼案件暂未结案，请注明诉讼案件的当前进展，如已受理/处于管辖权异议程序/已安排开庭（开庭时间）/已开庭（开庭时间）等；</w:t>
      </w:r>
    </w:p>
    <w:p>
      <w:pPr>
        <w:widowControl w:val="0"/>
        <w:numPr>
          <w:ilvl w:val="0"/>
          <w:numId w:val="0"/>
        </w:numPr>
        <w:suppressAutoHyphens/>
        <w:spacing w:line="276" w:lineRule="auto"/>
        <w:ind w:firstLine="400" w:firstLineChars="200"/>
        <w:jc w:val="both"/>
        <w:rPr>
          <w:rFonts w:hint="eastAsia" w:cs="宋体"/>
          <w:sz w:val="20"/>
          <w:szCs w:val="20"/>
          <w:lang w:val="en-US" w:eastAsia="zh-CN" w:bidi="ar"/>
        </w:rPr>
      </w:pPr>
      <w:r>
        <w:rPr>
          <w:rFonts w:hint="eastAsia" w:cs="宋体"/>
          <w:sz w:val="20"/>
          <w:szCs w:val="20"/>
          <w:lang w:val="en-US" w:eastAsia="zh-CN" w:bidi="ar"/>
        </w:rPr>
        <w:t>2.如诉讼案件存在再审情形，需一并写明相关信息。</w:t>
      </w:r>
    </w:p>
    <w:sectPr>
      <w:type w:val="continuous"/>
      <w:pgSz w:w="16838" w:h="11906" w:orient="landscape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9D865"/>
    <w:multiLevelType w:val="singleLevel"/>
    <w:tmpl w:val="97F9D86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82EA0BC"/>
    <w:multiLevelType w:val="singleLevel"/>
    <w:tmpl w:val="C82EA0B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07D4E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7B26B1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9C60D3"/>
    <w:rsid w:val="0FD34F3D"/>
    <w:rsid w:val="0FD351EA"/>
    <w:rsid w:val="0FED59A3"/>
    <w:rsid w:val="103E486A"/>
    <w:rsid w:val="1046495F"/>
    <w:rsid w:val="11897783"/>
    <w:rsid w:val="11ED2C4E"/>
    <w:rsid w:val="12F94C57"/>
    <w:rsid w:val="131F1078"/>
    <w:rsid w:val="13662004"/>
    <w:rsid w:val="13A946F0"/>
    <w:rsid w:val="14DA6A78"/>
    <w:rsid w:val="15A84A0F"/>
    <w:rsid w:val="15BE04D1"/>
    <w:rsid w:val="15C41DC5"/>
    <w:rsid w:val="165F4B2A"/>
    <w:rsid w:val="16907088"/>
    <w:rsid w:val="17DD7339"/>
    <w:rsid w:val="181A2CFE"/>
    <w:rsid w:val="183E4E91"/>
    <w:rsid w:val="18624D66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2F6827"/>
    <w:rsid w:val="1D4110DC"/>
    <w:rsid w:val="1E9439C2"/>
    <w:rsid w:val="202334B1"/>
    <w:rsid w:val="20F05CF6"/>
    <w:rsid w:val="211424A6"/>
    <w:rsid w:val="21C603EE"/>
    <w:rsid w:val="2262661D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9F7442"/>
    <w:rsid w:val="2BB16143"/>
    <w:rsid w:val="2BE0398F"/>
    <w:rsid w:val="2C8D512D"/>
    <w:rsid w:val="2D331A95"/>
    <w:rsid w:val="2D33417F"/>
    <w:rsid w:val="2D3E2F42"/>
    <w:rsid w:val="2D4B511A"/>
    <w:rsid w:val="2DB47F9C"/>
    <w:rsid w:val="2E333410"/>
    <w:rsid w:val="2E702EB0"/>
    <w:rsid w:val="2F4E6F4E"/>
    <w:rsid w:val="2F646494"/>
    <w:rsid w:val="2FD1009E"/>
    <w:rsid w:val="2FF2077B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075CA0"/>
    <w:rsid w:val="35352FE9"/>
    <w:rsid w:val="35935DF5"/>
    <w:rsid w:val="35B30245"/>
    <w:rsid w:val="360A6217"/>
    <w:rsid w:val="368C4852"/>
    <w:rsid w:val="36B03D1A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160C5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DA130FA"/>
    <w:rsid w:val="3E55633E"/>
    <w:rsid w:val="3EC76B54"/>
    <w:rsid w:val="3F230ED8"/>
    <w:rsid w:val="3FF12D30"/>
    <w:rsid w:val="40050660"/>
    <w:rsid w:val="416B5D69"/>
    <w:rsid w:val="419355F4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D647C6"/>
    <w:rsid w:val="44883346"/>
    <w:rsid w:val="44B75F5C"/>
    <w:rsid w:val="45042A50"/>
    <w:rsid w:val="451877CB"/>
    <w:rsid w:val="45426A24"/>
    <w:rsid w:val="45707D87"/>
    <w:rsid w:val="45C47D51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BBD7150"/>
    <w:rsid w:val="4C426DCB"/>
    <w:rsid w:val="4C793B3F"/>
    <w:rsid w:val="4CDE101F"/>
    <w:rsid w:val="4D65688F"/>
    <w:rsid w:val="4D77007F"/>
    <w:rsid w:val="4DE95E4E"/>
    <w:rsid w:val="4DFE20BC"/>
    <w:rsid w:val="4E23222F"/>
    <w:rsid w:val="4E864C08"/>
    <w:rsid w:val="4EE67B0A"/>
    <w:rsid w:val="4F626628"/>
    <w:rsid w:val="4F9D11CE"/>
    <w:rsid w:val="4FC86A95"/>
    <w:rsid w:val="5003209D"/>
    <w:rsid w:val="506D39BB"/>
    <w:rsid w:val="50C50B26"/>
    <w:rsid w:val="50DB387E"/>
    <w:rsid w:val="50FA2CEF"/>
    <w:rsid w:val="510746C6"/>
    <w:rsid w:val="523525AD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7A60D5"/>
    <w:rsid w:val="56894032"/>
    <w:rsid w:val="57475C4D"/>
    <w:rsid w:val="57746B53"/>
    <w:rsid w:val="57EF0B49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41831"/>
    <w:rsid w:val="5C3A25B5"/>
    <w:rsid w:val="5C3E0CC0"/>
    <w:rsid w:val="5C4943A0"/>
    <w:rsid w:val="5CB87D6C"/>
    <w:rsid w:val="5CD64D27"/>
    <w:rsid w:val="5CE77665"/>
    <w:rsid w:val="5D0440FF"/>
    <w:rsid w:val="5D1C18CC"/>
    <w:rsid w:val="5D2B2E5F"/>
    <w:rsid w:val="5D3B4FAE"/>
    <w:rsid w:val="5D5249BC"/>
    <w:rsid w:val="5D8F31C2"/>
    <w:rsid w:val="5D995DEF"/>
    <w:rsid w:val="5E0368F6"/>
    <w:rsid w:val="5E044246"/>
    <w:rsid w:val="5E440DEB"/>
    <w:rsid w:val="5FBF31B3"/>
    <w:rsid w:val="5FC37153"/>
    <w:rsid w:val="601613CA"/>
    <w:rsid w:val="61026EA9"/>
    <w:rsid w:val="614150CD"/>
    <w:rsid w:val="61833CD8"/>
    <w:rsid w:val="61A05DFC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3F5EBD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007E4F"/>
    <w:rsid w:val="6B7C0F49"/>
    <w:rsid w:val="6BCB6B28"/>
    <w:rsid w:val="6BEB4428"/>
    <w:rsid w:val="6C133380"/>
    <w:rsid w:val="6C427652"/>
    <w:rsid w:val="6CA07829"/>
    <w:rsid w:val="6D0B1319"/>
    <w:rsid w:val="6D44403A"/>
    <w:rsid w:val="6DB72D70"/>
    <w:rsid w:val="6DF26FC2"/>
    <w:rsid w:val="6F8A6141"/>
    <w:rsid w:val="6FB40F38"/>
    <w:rsid w:val="6FC0701A"/>
    <w:rsid w:val="701557F7"/>
    <w:rsid w:val="7055578D"/>
    <w:rsid w:val="705B5122"/>
    <w:rsid w:val="7065749D"/>
    <w:rsid w:val="70A11939"/>
    <w:rsid w:val="71D20CED"/>
    <w:rsid w:val="71EC2F5F"/>
    <w:rsid w:val="71FA6D52"/>
    <w:rsid w:val="72C75056"/>
    <w:rsid w:val="734B1181"/>
    <w:rsid w:val="73DD5247"/>
    <w:rsid w:val="74DA3A60"/>
    <w:rsid w:val="74E7348C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A57209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8F6BFA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0"/>
    <w:rPr>
      <w:rFonts w:ascii="楷体" w:hAnsi="楷体" w:eastAsia="楷体"/>
    </w:rPr>
  </w:style>
  <w:style w:type="paragraph" w:styleId="6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21">
    <w:name w:val="Placeholder Text"/>
    <w:basedOn w:val="12"/>
    <w:semiHidden/>
    <w:qFormat/>
    <w:uiPriority w:val="99"/>
    <w:rPr>
      <w:color w:val="808080"/>
    </w:rPr>
  </w:style>
  <w:style w:type="character" w:customStyle="1" w:styleId="22">
    <w:name w:val="批注文字 Char"/>
    <w:link w:val="5"/>
    <w:qFormat/>
    <w:uiPriority w:val="0"/>
    <w:rPr>
      <w:rFonts w:ascii="楷体" w:hAnsi="楷体" w:eastAsia="楷体"/>
    </w:rPr>
  </w:style>
  <w:style w:type="character" w:customStyle="1" w:styleId="23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4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5">
    <w:name w:val="页脚 Char"/>
    <w:basedOn w:val="12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15</Pages>
  <Words>6188</Words>
  <Characters>6681</Characters>
  <Lines>210</Lines>
  <Paragraphs>307</Paragraphs>
  <TotalTime>0</TotalTime>
  <ScaleCrop>false</ScaleCrop>
  <LinksUpToDate>false</LinksUpToDate>
  <CharactersWithSpaces>7498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2025-07-17T07:28:39Z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C8C3D34FAB03467D8B5577BBD4D98832_13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